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小标宋" w:hAnsi="小标宋" w:eastAsia="小标宋" w:cs="小标宋"/>
          <w:bCs/>
          <w:sz w:val="44"/>
          <w:szCs w:val="44"/>
          <w:lang w:eastAsia="zh-CN"/>
        </w:rPr>
      </w:pPr>
      <w:r>
        <w:rPr>
          <w:rFonts w:hint="eastAsia" w:ascii="小标宋" w:hAnsi="小标宋" w:eastAsia="小标宋" w:cs="小标宋"/>
          <w:bCs/>
          <w:sz w:val="44"/>
          <w:szCs w:val="44"/>
        </w:rPr>
        <w:t>《</w:t>
      </w:r>
      <w:r>
        <w:rPr>
          <w:rFonts w:hint="eastAsia" w:ascii="小标宋" w:hAnsi="小标宋" w:eastAsia="小标宋" w:cs="小标宋"/>
          <w:bCs/>
          <w:sz w:val="44"/>
          <w:szCs w:val="44"/>
          <w:lang w:eastAsia="zh-CN"/>
        </w:rPr>
        <w:t>皂石</w:t>
      </w:r>
      <w:r>
        <w:rPr>
          <w:rFonts w:hint="eastAsia" w:ascii="小标宋" w:hAnsi="小标宋" w:eastAsia="小标宋" w:cs="小标宋"/>
          <w:bCs/>
          <w:sz w:val="44"/>
          <w:szCs w:val="44"/>
        </w:rPr>
        <w:t>》</w:t>
      </w:r>
      <w:r>
        <w:rPr>
          <w:rFonts w:hint="eastAsia" w:ascii="小标宋" w:hAnsi="小标宋" w:eastAsia="小标宋" w:cs="小标宋"/>
          <w:bCs/>
          <w:sz w:val="44"/>
          <w:szCs w:val="44"/>
          <w:lang w:eastAsia="zh-CN"/>
        </w:rPr>
        <w:t>行业标准</w:t>
      </w:r>
    </w:p>
    <w:p>
      <w:pPr>
        <w:jc w:val="center"/>
        <w:rPr>
          <w:rFonts w:ascii="方正小标宋简体" w:hAnsi="方正小标宋简体" w:eastAsia="方正小标宋简体" w:cs="方正小标宋简体"/>
          <w:bCs/>
          <w:sz w:val="44"/>
          <w:szCs w:val="44"/>
        </w:rPr>
      </w:pPr>
      <w:r>
        <w:rPr>
          <w:rFonts w:hint="eastAsia" w:ascii="小标宋" w:hAnsi="小标宋" w:eastAsia="小标宋" w:cs="小标宋"/>
          <w:bCs/>
          <w:sz w:val="44"/>
          <w:szCs w:val="44"/>
          <w:lang w:val="en-US" w:eastAsia="zh-CN"/>
        </w:rPr>
        <w:t xml:space="preserve">  </w:t>
      </w:r>
      <w:r>
        <w:rPr>
          <w:rFonts w:hint="eastAsia" w:ascii="小标宋" w:hAnsi="小标宋" w:eastAsia="小标宋" w:cs="小标宋"/>
          <w:bCs/>
          <w:sz w:val="44"/>
          <w:szCs w:val="44"/>
        </w:rPr>
        <w:t>编制说明</w:t>
      </w:r>
    </w:p>
    <w:p>
      <w:pPr>
        <w:spacing w:line="360" w:lineRule="auto"/>
        <w:rPr>
          <w:rFonts w:ascii="黑体" w:hAnsi="黑体" w:eastAsia="黑体" w:cs="黑体"/>
          <w:bCs/>
          <w:sz w:val="32"/>
          <w:szCs w:val="32"/>
        </w:rPr>
      </w:pPr>
      <w:r>
        <w:rPr>
          <w:rFonts w:hint="eastAsia" w:ascii="黑体" w:hAnsi="黑体" w:eastAsia="黑体" w:cs="黑体"/>
          <w:bCs/>
          <w:sz w:val="32"/>
          <w:szCs w:val="32"/>
        </w:rPr>
        <w:t>一 、工作简况</w:t>
      </w:r>
    </w:p>
    <w:p>
      <w:pPr>
        <w:spacing w:line="360" w:lineRule="auto"/>
        <w:rPr>
          <w:rFonts w:ascii="楷体_GB2312" w:hAnsi="楷体_GB2312" w:eastAsia="楷体_GB2312" w:cs="楷体_GB2312"/>
          <w:sz w:val="32"/>
          <w:szCs w:val="32"/>
        </w:rPr>
      </w:pPr>
      <w:r>
        <w:rPr>
          <w:rFonts w:hint="eastAsia" w:ascii="楷体_GB2312" w:hAnsi="楷体_GB2312" w:eastAsia="楷体_GB2312" w:cs="楷体_GB2312"/>
          <w:sz w:val="32"/>
          <w:szCs w:val="32"/>
        </w:rPr>
        <w:t>（一）任务来源</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本文件依据工信厅科函[202</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94</w:t>
      </w:r>
      <w:r>
        <w:rPr>
          <w:rFonts w:hint="eastAsia" w:ascii="仿宋_GB2312" w:hAnsi="仿宋_GB2312" w:eastAsia="仿宋_GB2312" w:cs="仿宋_GB2312"/>
          <w:sz w:val="32"/>
          <w:szCs w:val="32"/>
          <w:highlight w:val="none"/>
        </w:rPr>
        <w:t>号文《工业和信息化部办公厅关于印发202</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年第</w:t>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批行业标准制修订和外文版项目计划的通知》，制定《</w:t>
      </w:r>
      <w:r>
        <w:rPr>
          <w:rFonts w:hint="eastAsia" w:ascii="仿宋_GB2312" w:hAnsi="仿宋_GB2312" w:eastAsia="仿宋_GB2312" w:cs="仿宋_GB2312"/>
          <w:sz w:val="32"/>
          <w:szCs w:val="32"/>
          <w:highlight w:val="none"/>
          <w:lang w:eastAsia="zh-CN"/>
        </w:rPr>
        <w:t>皂石</w:t>
      </w:r>
      <w:r>
        <w:rPr>
          <w:rFonts w:hint="eastAsia" w:ascii="仿宋_GB2312" w:hAnsi="仿宋_GB2312" w:eastAsia="仿宋_GB2312" w:cs="仿宋_GB2312"/>
          <w:sz w:val="32"/>
          <w:szCs w:val="32"/>
          <w:highlight w:val="none"/>
        </w:rPr>
        <w:t>》行业标准，项目计划号为202</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0255</w:t>
      </w:r>
      <w:r>
        <w:rPr>
          <w:rFonts w:hint="eastAsia" w:ascii="仿宋_GB2312" w:hAnsi="仿宋_GB2312" w:eastAsia="仿宋_GB2312" w:cs="仿宋_GB2312"/>
          <w:sz w:val="32"/>
          <w:szCs w:val="32"/>
          <w:highlight w:val="none"/>
        </w:rPr>
        <w:t>T-JC。本文件由全国非金属矿产品及制品标准化技术委员会（SAC/TC 406）归口。</w:t>
      </w:r>
    </w:p>
    <w:p>
      <w:pPr>
        <w:spacing w:line="360" w:lineRule="auto"/>
        <w:rPr>
          <w:rFonts w:ascii="楷体_GB2312" w:hAnsi="楷体_GB2312" w:eastAsia="楷体_GB2312" w:cs="楷体_GB2312"/>
          <w:sz w:val="32"/>
          <w:szCs w:val="32"/>
        </w:rPr>
      </w:pPr>
      <w:r>
        <w:rPr>
          <w:rFonts w:hint="eastAsia" w:ascii="楷体_GB2312" w:hAnsi="楷体_GB2312" w:eastAsia="楷体_GB2312" w:cs="楷体_GB2312"/>
          <w:sz w:val="32"/>
          <w:szCs w:val="32"/>
        </w:rPr>
        <w:t>（二）主要工作过程</w:t>
      </w:r>
    </w:p>
    <w:p>
      <w:pPr>
        <w:pStyle w:val="2"/>
        <w:spacing w:line="360" w:lineRule="auto"/>
        <w:ind w:firstLine="624" w:firstLineChars="200"/>
        <w:rPr>
          <w:rFonts w:ascii="仿宋_GB2312" w:eastAsia="仿宋_GB2312"/>
          <w:spacing w:val="-4"/>
          <w:sz w:val="32"/>
          <w:szCs w:val="22"/>
        </w:rPr>
      </w:pPr>
      <w:r>
        <w:rPr>
          <w:rFonts w:hint="eastAsia" w:ascii="仿宋_GB2312" w:eastAsia="仿宋_GB2312"/>
          <w:spacing w:val="-4"/>
          <w:sz w:val="32"/>
          <w:szCs w:val="22"/>
          <w:highlight w:val="none"/>
        </w:rPr>
        <w:t>本标准于202</w:t>
      </w:r>
      <w:r>
        <w:rPr>
          <w:rFonts w:hint="eastAsia" w:ascii="仿宋_GB2312" w:eastAsia="仿宋_GB2312"/>
          <w:spacing w:val="-4"/>
          <w:sz w:val="32"/>
          <w:szCs w:val="22"/>
          <w:highlight w:val="none"/>
          <w:lang w:val="en-US" w:eastAsia="zh-CN"/>
        </w:rPr>
        <w:t>2</w:t>
      </w:r>
      <w:r>
        <w:rPr>
          <w:rFonts w:hint="eastAsia" w:ascii="仿宋_GB2312" w:eastAsia="仿宋_GB2312"/>
          <w:spacing w:val="-4"/>
          <w:sz w:val="32"/>
          <w:szCs w:val="22"/>
          <w:highlight w:val="none"/>
        </w:rPr>
        <w:t>年</w:t>
      </w:r>
      <w:r>
        <w:rPr>
          <w:rFonts w:hint="eastAsia" w:ascii="仿宋_GB2312" w:eastAsia="仿宋_GB2312"/>
          <w:spacing w:val="-4"/>
          <w:sz w:val="32"/>
          <w:szCs w:val="22"/>
          <w:highlight w:val="none"/>
          <w:lang w:val="en-US" w:eastAsia="zh-CN"/>
        </w:rPr>
        <w:t>4</w:t>
      </w:r>
      <w:r>
        <w:rPr>
          <w:rFonts w:hint="eastAsia" w:ascii="仿宋_GB2312" w:eastAsia="仿宋_GB2312"/>
          <w:spacing w:val="-4"/>
          <w:sz w:val="32"/>
          <w:szCs w:val="22"/>
          <w:highlight w:val="none"/>
        </w:rPr>
        <w:t>月</w:t>
      </w:r>
      <w:r>
        <w:rPr>
          <w:rFonts w:hint="eastAsia" w:ascii="仿宋_GB2312" w:eastAsia="仿宋_GB2312"/>
          <w:spacing w:val="-4"/>
          <w:sz w:val="32"/>
          <w:szCs w:val="22"/>
        </w:rPr>
        <w:t>底</w:t>
      </w:r>
      <w:r>
        <w:rPr>
          <w:rFonts w:hint="eastAsia" w:ascii="仿宋_GB2312" w:eastAsia="仿宋_GB2312"/>
          <w:spacing w:val="-4"/>
          <w:sz w:val="32"/>
          <w:szCs w:val="22"/>
          <w:lang w:eastAsia="zh-CN"/>
        </w:rPr>
        <w:t>收到</w:t>
      </w:r>
      <w:r>
        <w:rPr>
          <w:rFonts w:hint="eastAsia" w:ascii="仿宋_GB2312" w:eastAsia="仿宋_GB2312"/>
          <w:spacing w:val="-4"/>
          <w:sz w:val="32"/>
          <w:szCs w:val="22"/>
        </w:rPr>
        <w:t>立项</w:t>
      </w:r>
      <w:r>
        <w:rPr>
          <w:rFonts w:hint="eastAsia" w:ascii="仿宋_GB2312" w:eastAsia="仿宋_GB2312"/>
          <w:spacing w:val="-4"/>
          <w:sz w:val="32"/>
          <w:szCs w:val="22"/>
          <w:lang w:eastAsia="zh-CN"/>
        </w:rPr>
        <w:t>通知</w:t>
      </w:r>
      <w:r>
        <w:rPr>
          <w:rFonts w:hint="eastAsia" w:ascii="仿宋_GB2312" w:eastAsia="仿宋_GB2312"/>
          <w:spacing w:val="-4"/>
          <w:sz w:val="32"/>
          <w:szCs w:val="22"/>
        </w:rPr>
        <w:t>。接到</w:t>
      </w:r>
      <w:r>
        <w:rPr>
          <w:rFonts w:hint="eastAsia" w:ascii="仿宋_GB2312" w:eastAsia="仿宋_GB2312"/>
          <w:spacing w:val="-4"/>
          <w:sz w:val="32"/>
          <w:szCs w:val="22"/>
          <w:lang w:eastAsia="zh-CN"/>
        </w:rPr>
        <w:t>制定</w:t>
      </w:r>
      <w:r>
        <w:rPr>
          <w:rFonts w:hint="eastAsia" w:ascii="仿宋_GB2312" w:eastAsia="仿宋_GB2312"/>
          <w:spacing w:val="-4"/>
          <w:sz w:val="32"/>
          <w:szCs w:val="22"/>
        </w:rPr>
        <w:t>任务后，成立了标准起草小组。起草小组首先查阅了</w:t>
      </w:r>
      <w:r>
        <w:rPr>
          <w:rFonts w:hint="eastAsia" w:ascii="仿宋_GB2312" w:eastAsia="仿宋_GB2312"/>
          <w:spacing w:val="-4"/>
          <w:sz w:val="32"/>
          <w:szCs w:val="22"/>
          <w:lang w:eastAsia="zh-CN"/>
        </w:rPr>
        <w:t>皂石矿产品</w:t>
      </w:r>
      <w:r>
        <w:rPr>
          <w:rFonts w:hint="eastAsia" w:ascii="仿宋_GB2312" w:eastAsia="仿宋_GB2312"/>
          <w:spacing w:val="-4"/>
          <w:sz w:val="32"/>
          <w:szCs w:val="22"/>
        </w:rPr>
        <w:t>国内外相关的标准文献，并对</w:t>
      </w:r>
      <w:r>
        <w:rPr>
          <w:rFonts w:hint="eastAsia" w:ascii="仿宋_GB2312" w:eastAsia="仿宋_GB2312"/>
          <w:spacing w:val="-4"/>
          <w:sz w:val="32"/>
          <w:szCs w:val="22"/>
          <w:lang w:eastAsia="zh-CN"/>
        </w:rPr>
        <w:t>皂石矿产品</w:t>
      </w:r>
      <w:r>
        <w:rPr>
          <w:rFonts w:hint="eastAsia" w:ascii="仿宋_GB2312" w:eastAsia="仿宋_GB2312"/>
          <w:spacing w:val="-4"/>
          <w:sz w:val="32"/>
          <w:szCs w:val="22"/>
        </w:rPr>
        <w:t>现状进行了调研，采集有代表性的</w:t>
      </w:r>
      <w:r>
        <w:rPr>
          <w:rFonts w:hint="eastAsia" w:ascii="仿宋_GB2312" w:eastAsia="仿宋_GB2312"/>
          <w:spacing w:val="-4"/>
          <w:sz w:val="32"/>
          <w:szCs w:val="22"/>
          <w:lang w:eastAsia="zh-CN"/>
        </w:rPr>
        <w:t>皂石</w:t>
      </w:r>
      <w:r>
        <w:rPr>
          <w:rFonts w:hint="eastAsia" w:ascii="仿宋_GB2312" w:eastAsia="仿宋_GB2312"/>
          <w:spacing w:val="-4"/>
          <w:sz w:val="32"/>
          <w:szCs w:val="22"/>
        </w:rPr>
        <w:t>样品进行了试验验证及测试分析，并征求了部分专家意见，形成了标准工作组讨论稿。</w:t>
      </w:r>
    </w:p>
    <w:p>
      <w:pPr>
        <w:spacing w:line="360" w:lineRule="auto"/>
        <w:ind w:firstLine="624" w:firstLineChars="200"/>
        <w:rPr>
          <w:rFonts w:hint="eastAsia" w:ascii="仿宋_GB2312" w:eastAsia="仿宋_GB2312"/>
          <w:spacing w:val="-4"/>
          <w:sz w:val="32"/>
          <w:szCs w:val="22"/>
          <w:highlight w:val="none"/>
        </w:rPr>
      </w:pPr>
      <w:r>
        <w:rPr>
          <w:rFonts w:hint="eastAsia" w:ascii="仿宋_GB2312" w:eastAsia="仿宋_GB2312"/>
          <w:spacing w:val="-4"/>
          <w:sz w:val="32"/>
          <w:szCs w:val="22"/>
          <w:highlight w:val="none"/>
        </w:rPr>
        <w:t>2022年</w:t>
      </w:r>
      <w:r>
        <w:rPr>
          <w:rFonts w:hint="eastAsia" w:ascii="仿宋_GB2312" w:eastAsia="仿宋_GB2312"/>
          <w:spacing w:val="-4"/>
          <w:sz w:val="32"/>
          <w:szCs w:val="22"/>
          <w:highlight w:val="none"/>
          <w:lang w:val="en-US" w:eastAsia="zh-CN"/>
        </w:rPr>
        <w:t>12</w:t>
      </w:r>
      <w:r>
        <w:rPr>
          <w:rFonts w:hint="eastAsia" w:ascii="仿宋_GB2312" w:eastAsia="仿宋_GB2312"/>
          <w:spacing w:val="-4"/>
          <w:sz w:val="32"/>
          <w:szCs w:val="22"/>
          <w:highlight w:val="none"/>
        </w:rPr>
        <w:t>月</w:t>
      </w:r>
      <w:r>
        <w:rPr>
          <w:rFonts w:hint="eastAsia" w:ascii="仿宋_GB2312" w:eastAsia="仿宋_GB2312"/>
          <w:spacing w:val="-4"/>
          <w:sz w:val="32"/>
          <w:szCs w:val="22"/>
          <w:highlight w:val="none"/>
          <w:lang w:val="en-US" w:eastAsia="zh-CN"/>
        </w:rPr>
        <w:t>24</w:t>
      </w:r>
      <w:r>
        <w:rPr>
          <w:rFonts w:hint="eastAsia" w:ascii="仿宋_GB2312" w:eastAsia="仿宋_GB2312"/>
          <w:spacing w:val="-4"/>
          <w:sz w:val="32"/>
          <w:szCs w:val="22"/>
          <w:highlight w:val="none"/>
        </w:rPr>
        <w:t>日在</w:t>
      </w:r>
      <w:r>
        <w:rPr>
          <w:rFonts w:hint="eastAsia" w:ascii="仿宋_GB2312" w:hAnsi="仿宋_GB2312" w:eastAsia="仿宋_GB2312" w:cs="仿宋_GB2312"/>
          <w:color w:val="000000"/>
          <w:sz w:val="32"/>
          <w:szCs w:val="32"/>
        </w:rPr>
        <w:t>湖南长沙三景韦尔斯利酒店召开了《</w:t>
      </w:r>
      <w:r>
        <w:rPr>
          <w:rFonts w:hint="eastAsia" w:ascii="仿宋_GB2312" w:hAnsi="仿宋_GB2312" w:eastAsia="仿宋_GB2312" w:cs="仿宋_GB2312"/>
          <w:color w:val="000000"/>
          <w:sz w:val="32"/>
          <w:szCs w:val="32"/>
          <w:lang w:eastAsia="zh-CN"/>
        </w:rPr>
        <w:t>皂石</w:t>
      </w:r>
      <w:r>
        <w:rPr>
          <w:rFonts w:hint="eastAsia" w:ascii="仿宋_GB2312" w:hAnsi="仿宋_GB2312" w:eastAsia="仿宋_GB2312" w:cs="仿宋_GB2312"/>
          <w:color w:val="000000"/>
          <w:sz w:val="32"/>
          <w:szCs w:val="32"/>
        </w:rPr>
        <w:t>》建材行业标准</w:t>
      </w:r>
      <w:r>
        <w:rPr>
          <w:rFonts w:hint="eastAsia" w:ascii="仿宋_GB2312" w:hAnsi="仿宋_GB2312" w:eastAsia="仿宋_GB2312" w:cs="仿宋_GB2312"/>
          <w:color w:val="000000"/>
          <w:sz w:val="32"/>
          <w:szCs w:val="32"/>
          <w:lang w:eastAsia="zh-CN"/>
        </w:rPr>
        <w:t>研讨会</w:t>
      </w:r>
      <w:r>
        <w:rPr>
          <w:rFonts w:hint="eastAsia" w:ascii="仿宋_GB2312" w:eastAsia="仿宋_GB2312"/>
          <w:spacing w:val="-4"/>
          <w:sz w:val="32"/>
          <w:szCs w:val="22"/>
          <w:highlight w:val="none"/>
        </w:rPr>
        <w:t>，全国非矿标委会委员及全国有关生产企业、用户代表参加了会议。本次会议中对本标准工作组讨论稿中涉及的范围、要求、试验方法等内容进行了仔细认真的讨论，参会的专家和代表提出了意见和建议。标准起草小组之后对提出的意见进行整理，对标准工作组讨论稿进行修改和完善，并做了大量的验证试验，形成了标准征求意见稿。</w:t>
      </w:r>
    </w:p>
    <w:p>
      <w:pPr>
        <w:spacing w:line="360" w:lineRule="auto"/>
        <w:rPr>
          <w:rFonts w:ascii="黑体" w:hAnsi="黑体" w:eastAsia="黑体" w:cs="黑体"/>
          <w:bCs/>
          <w:sz w:val="32"/>
          <w:szCs w:val="32"/>
        </w:rPr>
      </w:pPr>
      <w:r>
        <w:rPr>
          <w:rFonts w:hint="eastAsia" w:ascii="黑体" w:hAnsi="黑体" w:eastAsia="黑体" w:cs="黑体"/>
          <w:bCs/>
          <w:sz w:val="32"/>
          <w:szCs w:val="32"/>
        </w:rPr>
        <w:t>二、标准编制原则和主要内容确定依据</w:t>
      </w:r>
    </w:p>
    <w:p>
      <w:pPr>
        <w:pStyle w:val="10"/>
        <w:spacing w:line="360" w:lineRule="auto"/>
        <w:rPr>
          <w:rFonts w:ascii="楷体_GB2312" w:hAnsi="楷体_GB2312" w:eastAsia="楷体_GB2312" w:cs="楷体_GB2312"/>
          <w:kern w:val="2"/>
          <w:sz w:val="32"/>
          <w:szCs w:val="32"/>
        </w:rPr>
      </w:pPr>
      <w:r>
        <w:rPr>
          <w:rFonts w:hint="eastAsia" w:ascii="楷体_GB2312" w:hAnsi="楷体_GB2312" w:eastAsia="楷体_GB2312" w:cs="楷体_GB2312"/>
          <w:kern w:val="2"/>
          <w:sz w:val="32"/>
          <w:szCs w:val="32"/>
        </w:rPr>
        <w:t>（一） 标准编写原则</w:t>
      </w:r>
    </w:p>
    <w:p>
      <w:pPr>
        <w:pStyle w:val="10"/>
        <w:spacing w:line="360" w:lineRule="auto"/>
        <w:ind w:firstLine="624" w:firstLineChars="200"/>
        <w:rPr>
          <w:rFonts w:ascii="仿宋_GB2312" w:hAnsi="Times New Roman" w:eastAsia="仿宋_GB2312" w:cs="Times New Roman"/>
          <w:spacing w:val="-4"/>
          <w:kern w:val="2"/>
          <w:sz w:val="32"/>
          <w:szCs w:val="22"/>
        </w:rPr>
      </w:pPr>
      <w:r>
        <w:rPr>
          <w:rFonts w:hint="eastAsia" w:ascii="仿宋_GB2312" w:hAnsi="Times New Roman" w:eastAsia="仿宋_GB2312" w:cs="Times New Roman"/>
          <w:spacing w:val="-4"/>
          <w:kern w:val="2"/>
          <w:sz w:val="32"/>
          <w:szCs w:val="22"/>
        </w:rPr>
        <w:t>本标准根据我国</w:t>
      </w:r>
      <w:r>
        <w:rPr>
          <w:rFonts w:hint="eastAsia" w:ascii="仿宋_GB2312" w:hAnsi="Times New Roman" w:eastAsia="仿宋_GB2312" w:cs="Times New Roman"/>
          <w:spacing w:val="-4"/>
          <w:kern w:val="2"/>
          <w:sz w:val="32"/>
          <w:szCs w:val="22"/>
          <w:lang w:eastAsia="zh-CN"/>
        </w:rPr>
        <w:t>皂石</w:t>
      </w:r>
      <w:r>
        <w:rPr>
          <w:rFonts w:hint="eastAsia" w:ascii="仿宋_GB2312" w:hAnsi="Times New Roman" w:eastAsia="仿宋_GB2312" w:cs="Times New Roman"/>
          <w:spacing w:val="-4"/>
          <w:kern w:val="2"/>
          <w:sz w:val="32"/>
          <w:szCs w:val="22"/>
        </w:rPr>
        <w:t>行业的实际需要及生产状况而制定。结合</w:t>
      </w:r>
      <w:r>
        <w:rPr>
          <w:rFonts w:hint="eastAsia" w:ascii="仿宋_GB2312" w:hAnsi="Times New Roman" w:eastAsia="仿宋_GB2312" w:cs="Times New Roman"/>
          <w:spacing w:val="-4"/>
          <w:kern w:val="2"/>
          <w:sz w:val="32"/>
          <w:szCs w:val="22"/>
          <w:lang w:eastAsia="zh-CN"/>
        </w:rPr>
        <w:t>皂石产品</w:t>
      </w:r>
      <w:r>
        <w:rPr>
          <w:rFonts w:hint="eastAsia" w:ascii="仿宋_GB2312" w:hAnsi="Times New Roman" w:eastAsia="仿宋_GB2312" w:cs="Times New Roman"/>
          <w:spacing w:val="-4"/>
          <w:kern w:val="2"/>
          <w:sz w:val="32"/>
          <w:szCs w:val="22"/>
        </w:rPr>
        <w:t>的生产、销售、市场、质量监督的实际情况，我们对所收集到的资料通过对比、分析，标准工作组努力做到，使本标准既保持先进性，又能适合我国的国情，通过对国内主要生产企业和使用单位对</w:t>
      </w:r>
      <w:r>
        <w:rPr>
          <w:rFonts w:hint="eastAsia" w:ascii="仿宋_GB2312" w:hAnsi="Times New Roman" w:eastAsia="仿宋_GB2312" w:cs="Times New Roman"/>
          <w:spacing w:val="-4"/>
          <w:kern w:val="2"/>
          <w:sz w:val="32"/>
          <w:szCs w:val="22"/>
          <w:lang w:eastAsia="zh-CN"/>
        </w:rPr>
        <w:t>皂石</w:t>
      </w:r>
      <w:r>
        <w:rPr>
          <w:rFonts w:hint="eastAsia" w:ascii="仿宋_GB2312" w:hAnsi="Times New Roman" w:eastAsia="仿宋_GB2312" w:cs="Times New Roman"/>
          <w:spacing w:val="-4"/>
          <w:kern w:val="2"/>
          <w:sz w:val="32"/>
          <w:szCs w:val="22"/>
        </w:rPr>
        <w:t>技术的要求进行分析，制定了本标准的要求、试验方法、检验规则以及包装运输贮存等。</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本标准编制依据“统一性、协调性、适用性、一致性、规范性”的原则，注重标准的可操作性，本标准严格按照GB/T 1.1</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sz w:val="32"/>
          <w:szCs w:val="32"/>
          <w:lang w:val="en-US" w:eastAsia="zh-CN"/>
        </w:rPr>
        <w:t>2020《标准化工作导则 第1部分：标准的结构和编写规则》的规定进行编写和表述。</w:t>
      </w:r>
    </w:p>
    <w:p>
      <w:pPr>
        <w:numPr>
          <w:ilvl w:val="0"/>
          <w:numId w:val="4"/>
        </w:numPr>
        <w:spacing w:line="360" w:lineRule="auto"/>
        <w:rPr>
          <w:rFonts w:ascii="楷体_GB2312" w:hAnsi="楷体_GB2312" w:eastAsia="楷体_GB2312" w:cs="楷体_GB2312"/>
          <w:sz w:val="32"/>
          <w:szCs w:val="32"/>
        </w:rPr>
      </w:pPr>
      <w:r>
        <w:rPr>
          <w:rFonts w:hint="eastAsia" w:ascii="楷体_GB2312" w:hAnsi="楷体_GB2312" w:eastAsia="楷体_GB2312" w:cs="楷体_GB2312"/>
          <w:sz w:val="32"/>
          <w:szCs w:val="32"/>
        </w:rPr>
        <w:t>标准主要内容及确定依据</w:t>
      </w:r>
    </w:p>
    <w:p>
      <w:pPr>
        <w:pStyle w:val="2"/>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本标准与JC/T 928—2003相比，主要做了如下修改：</w:t>
      </w:r>
    </w:p>
    <w:p>
      <w:pPr>
        <w:spacing w:line="360" w:lineRule="auto"/>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修改了适用范围。将“本标准适用于皂石矿产品的质量检验和质量验收”修改为“本文件适用于橡胶工业、石油工业、涂料领域用皂石”。现行标准中皂石分类较宽泛，随着皂石研究方向的不断深入，皂石及下游的应用领域不断细分拓宽，应根据皂石应用领域进行分类，修改后使其针对性更强。</w:t>
      </w:r>
    </w:p>
    <w:p>
      <w:pPr>
        <w:spacing w:line="360" w:lineRule="auto"/>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（2）修改了产品分类与标记。将皂石按产品用途分为三类：橡胶工业用皂石、石油工业用皂石、涂料领域用皂石。标记由产品名称、本文件编号及产品代号组成。</w:t>
      </w:r>
    </w:p>
    <w:p>
      <w:pPr>
        <w:spacing w:line="360" w:lineRule="auto"/>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（3）修改了要求中皂石理化性能指标，按皂石用途对理化性能指标进行分类规定。不同应用领域皂石产品技术指标要求也不同，修改后与皂石生产企业实际生产情况更加贴切，指导性和规范性更强。</w:t>
      </w:r>
    </w:p>
    <w:p>
      <w:pPr>
        <w:spacing w:line="360" w:lineRule="auto"/>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（4）修改了试验方法。随着检测技术的进步与仪器的更新换代，部分指标测试方法已改进，改进后可提高试验操作的准确率与效率。</w:t>
      </w:r>
    </w:p>
    <w:p>
      <w:pPr>
        <w:spacing w:line="360" w:lineRule="auto"/>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（5）修改了检验规则、标志、包装、运输和贮存。对出厂检验和型式检验做了规定，并按皂石产品的分类，使产品质量达到其要求，标志、运输和贮存方式也更加科学合理。</w:t>
      </w:r>
    </w:p>
    <w:p>
      <w:pPr>
        <w:tabs>
          <w:tab w:val="left" w:pos="2445"/>
        </w:tabs>
        <w:rPr>
          <w:rFonts w:hint="eastAsia" w:ascii="黑体" w:hAnsi="宋体" w:eastAsia="黑体" w:cs="黑体"/>
          <w:bCs/>
          <w:kern w:val="2"/>
          <w:sz w:val="32"/>
          <w:szCs w:val="32"/>
          <w:highlight w:val="none"/>
          <w:lang w:val="en-US" w:eastAsia="zh-CN" w:bidi="ar"/>
        </w:rPr>
      </w:pPr>
      <w:r>
        <w:rPr>
          <w:rFonts w:hint="eastAsia" w:ascii="黑体" w:hAnsi="宋体" w:eastAsia="黑体" w:cs="黑体"/>
          <w:bCs/>
          <w:kern w:val="2"/>
          <w:sz w:val="32"/>
          <w:szCs w:val="32"/>
          <w:highlight w:val="none"/>
          <w:lang w:val="en-US" w:eastAsia="zh-CN" w:bidi="ar"/>
        </w:rPr>
        <w:t>三、主要试验（或验证）情况分析</w:t>
      </w:r>
    </w:p>
    <w:p>
      <w:pPr>
        <w:spacing w:line="360" w:lineRule="auto"/>
        <w:rPr>
          <w:rFonts w:hint="eastAsia" w:ascii="楷体_GB2312" w:hAnsi="楷体_GB2312" w:eastAsia="楷体_GB2312" w:cs="楷体_GB2312"/>
          <w:kern w:val="2"/>
          <w:sz w:val="32"/>
          <w:szCs w:val="32"/>
          <w:lang w:val="en-US" w:eastAsia="zh-CN" w:bidi="ar"/>
        </w:rPr>
      </w:pPr>
      <w:r>
        <w:rPr>
          <w:rFonts w:hint="eastAsia" w:ascii="楷体_GB2312" w:hAnsi="楷体_GB2312" w:eastAsia="楷体_GB2312" w:cs="楷体_GB2312"/>
          <w:kern w:val="2"/>
          <w:sz w:val="32"/>
          <w:szCs w:val="32"/>
          <w:lang w:val="en-US" w:eastAsia="zh-CN" w:bidi="ar"/>
        </w:rPr>
        <w:t>（一） 验证情况</w:t>
      </w:r>
    </w:p>
    <w:p>
      <w:pPr>
        <w:keepNext w:val="0"/>
        <w:keepLines w:val="0"/>
        <w:pageBreakBefore w:val="0"/>
        <w:widowControl w:val="0"/>
        <w:kinsoku/>
        <w:wordWrap/>
        <w:overflowPunct/>
        <w:topLinePunct w:val="0"/>
        <w:autoSpaceDE/>
        <w:autoSpaceDN/>
        <w:bidi w:val="0"/>
        <w:adjustRightInd/>
        <w:snapToGrid/>
        <w:ind w:firstLine="624" w:firstLineChars="200"/>
        <w:jc w:val="left"/>
        <w:textAlignment w:val="auto"/>
        <w:rPr>
          <w:rFonts w:hint="eastAsia" w:ascii="仿宋_GB2312" w:hAnsi="Times New Roman" w:eastAsia="仿宋_GB2312" w:cs="Times New Roman"/>
          <w:spacing w:val="-4"/>
          <w:kern w:val="2"/>
          <w:sz w:val="32"/>
          <w:szCs w:val="22"/>
          <w:lang w:val="en-US" w:eastAsia="zh-CN" w:bidi="ar"/>
        </w:rPr>
      </w:pPr>
      <w:r>
        <w:rPr>
          <w:rFonts w:hint="eastAsia" w:ascii="仿宋_GB2312" w:eastAsia="仿宋_GB2312" w:cs="Times New Roman"/>
          <w:spacing w:val="-4"/>
          <w:kern w:val="2"/>
          <w:sz w:val="32"/>
          <w:szCs w:val="22"/>
          <w:lang w:val="en-US" w:eastAsia="zh-CN" w:bidi="ar"/>
        </w:rPr>
        <w:t>皂石</w:t>
      </w:r>
      <w:r>
        <w:rPr>
          <w:rFonts w:hint="eastAsia" w:ascii="仿宋_GB2312" w:hAnsi="Times New Roman" w:eastAsia="仿宋_GB2312" w:cs="Times New Roman"/>
          <w:spacing w:val="-4"/>
          <w:kern w:val="2"/>
          <w:sz w:val="32"/>
          <w:szCs w:val="22"/>
          <w:lang w:val="en-US" w:eastAsia="zh-CN" w:bidi="ar"/>
        </w:rPr>
        <w:t>生产企业没有统一的规范标准用于指导生产和产品技术定型，导致生产状况混乱，产品质量参差不齐。因此急需制定适合的</w:t>
      </w:r>
      <w:r>
        <w:rPr>
          <w:rFonts w:hint="eastAsia" w:ascii="仿宋_GB2312" w:eastAsia="仿宋_GB2312" w:cs="Times New Roman"/>
          <w:spacing w:val="-4"/>
          <w:kern w:val="2"/>
          <w:sz w:val="32"/>
          <w:szCs w:val="22"/>
          <w:lang w:val="en-US" w:eastAsia="zh-CN" w:bidi="ar"/>
        </w:rPr>
        <w:t>皂石</w:t>
      </w:r>
      <w:r>
        <w:rPr>
          <w:rFonts w:hint="eastAsia" w:ascii="仿宋_GB2312" w:hAnsi="Times New Roman" w:eastAsia="仿宋_GB2312" w:cs="Times New Roman"/>
          <w:spacing w:val="-4"/>
          <w:kern w:val="2"/>
          <w:sz w:val="32"/>
          <w:szCs w:val="22"/>
          <w:lang w:val="en-US" w:eastAsia="zh-CN" w:bidi="ar"/>
        </w:rPr>
        <w:t>标准来规范企业生产，保证产品质量，促进</w:t>
      </w:r>
      <w:r>
        <w:rPr>
          <w:rFonts w:hint="eastAsia" w:ascii="仿宋_GB2312" w:eastAsia="仿宋_GB2312" w:cs="Times New Roman"/>
          <w:spacing w:val="-4"/>
          <w:kern w:val="2"/>
          <w:sz w:val="32"/>
          <w:szCs w:val="22"/>
          <w:lang w:val="en-US" w:eastAsia="zh-CN" w:bidi="ar"/>
        </w:rPr>
        <w:t>皂石</w:t>
      </w:r>
      <w:r>
        <w:rPr>
          <w:rFonts w:hint="eastAsia" w:ascii="仿宋_GB2312" w:hAnsi="Times New Roman" w:eastAsia="仿宋_GB2312" w:cs="Times New Roman"/>
          <w:spacing w:val="-4"/>
          <w:kern w:val="2"/>
          <w:sz w:val="32"/>
          <w:szCs w:val="22"/>
          <w:lang w:val="en-US" w:eastAsia="zh-CN" w:bidi="ar"/>
        </w:rPr>
        <w:t>行业的健康发展。</w:t>
      </w:r>
      <w:r>
        <w:rPr>
          <w:rFonts w:hint="eastAsia" w:ascii="仿宋_GB2312" w:hAnsi="Times New Roman" w:eastAsia="仿宋_GB2312" w:cs="Times New Roman"/>
          <w:spacing w:val="-4"/>
          <w:kern w:val="2"/>
          <w:sz w:val="32"/>
          <w:szCs w:val="22"/>
          <w:highlight w:val="none"/>
          <w:lang w:val="en-US" w:eastAsia="zh-CN" w:bidi="ar"/>
        </w:rPr>
        <w:t>为了验证试样在本标准中的方法是否可行，分别采用了不同公司</w:t>
      </w:r>
      <w:r>
        <w:rPr>
          <w:rFonts w:hint="eastAsia" w:ascii="仿宋_GB2312" w:eastAsia="仿宋_GB2312" w:cs="Times New Roman"/>
          <w:spacing w:val="-4"/>
          <w:kern w:val="2"/>
          <w:sz w:val="32"/>
          <w:szCs w:val="22"/>
          <w:highlight w:val="none"/>
          <w:lang w:val="en-US" w:eastAsia="zh-CN" w:bidi="ar"/>
        </w:rPr>
        <w:t>皂石</w:t>
      </w:r>
      <w:r>
        <w:rPr>
          <w:rFonts w:hint="eastAsia" w:ascii="仿宋_GB2312" w:hAnsi="Times New Roman" w:eastAsia="仿宋_GB2312" w:cs="Times New Roman"/>
          <w:spacing w:val="-4"/>
          <w:kern w:val="2"/>
          <w:sz w:val="32"/>
          <w:szCs w:val="22"/>
          <w:highlight w:val="none"/>
          <w:lang w:val="en-US" w:eastAsia="zh-CN" w:bidi="ar"/>
        </w:rPr>
        <w:t>样品进行验证，每个样品取两个平行样进行测定。</w:t>
      </w:r>
    </w:p>
    <w:p>
      <w:pPr>
        <w:pStyle w:val="2"/>
        <w:keepNext w:val="0"/>
        <w:keepLines w:val="0"/>
        <w:pageBreakBefore w:val="0"/>
        <w:widowControl w:val="0"/>
        <w:kinsoku/>
        <w:wordWrap/>
        <w:overflowPunct/>
        <w:topLinePunct w:val="0"/>
        <w:autoSpaceDE/>
        <w:autoSpaceDN/>
        <w:bidi w:val="0"/>
        <w:adjustRightInd/>
        <w:snapToGrid/>
        <w:spacing w:line="360" w:lineRule="auto"/>
        <w:ind w:firstLine="624" w:firstLineChars="200"/>
        <w:textAlignment w:val="auto"/>
        <w:rPr>
          <w:rFonts w:hint="eastAsia" w:cs="Times New Roman"/>
          <w:kern w:val="2"/>
          <w:sz w:val="21"/>
          <w:szCs w:val="24"/>
          <w:lang w:val="en-US" w:eastAsia="zh-CN" w:bidi="ar-SA"/>
        </w:rPr>
      </w:pPr>
      <w:r>
        <w:rPr>
          <w:rFonts w:hint="eastAsia" w:ascii="仿宋_GB2312" w:eastAsia="仿宋_GB2312" w:cs="Times New Roman"/>
          <w:spacing w:val="-4"/>
          <w:kern w:val="2"/>
          <w:sz w:val="32"/>
          <w:szCs w:val="22"/>
          <w:highlight w:val="none"/>
          <w:lang w:val="en-US" w:eastAsia="zh-CN" w:bidi="ar"/>
        </w:rPr>
        <w:t>橡胶工业</w:t>
      </w:r>
      <w:r>
        <w:rPr>
          <w:rFonts w:hint="eastAsia" w:ascii="仿宋_GB2312" w:hAnsi="Times New Roman" w:eastAsia="仿宋_GB2312" w:cs="Times New Roman"/>
          <w:spacing w:val="-4"/>
          <w:kern w:val="2"/>
          <w:sz w:val="32"/>
          <w:szCs w:val="22"/>
          <w:highlight w:val="none"/>
          <w:lang w:val="en-US" w:eastAsia="zh-CN" w:bidi="ar"/>
        </w:rPr>
        <w:t>用</w:t>
      </w:r>
      <w:r>
        <w:rPr>
          <w:rFonts w:hint="eastAsia" w:ascii="仿宋_GB2312" w:eastAsia="仿宋_GB2312" w:cs="Times New Roman"/>
          <w:spacing w:val="-4"/>
          <w:kern w:val="2"/>
          <w:sz w:val="32"/>
          <w:szCs w:val="22"/>
          <w:highlight w:val="none"/>
          <w:lang w:val="en-US" w:eastAsia="zh-CN" w:bidi="ar"/>
        </w:rPr>
        <w:t>皂石理化性能</w:t>
      </w:r>
      <w:r>
        <w:rPr>
          <w:rFonts w:hint="eastAsia" w:ascii="仿宋_GB2312" w:hAnsi="Times New Roman" w:eastAsia="仿宋_GB2312" w:cs="Times New Roman"/>
          <w:spacing w:val="-4"/>
          <w:kern w:val="2"/>
          <w:sz w:val="32"/>
          <w:szCs w:val="22"/>
          <w:highlight w:val="none"/>
          <w:lang w:val="en-US" w:eastAsia="zh-CN" w:bidi="ar"/>
        </w:rPr>
        <w:t>指标测定的样品数量为</w:t>
      </w:r>
      <w:r>
        <w:rPr>
          <w:rFonts w:hint="eastAsia" w:ascii="仿宋_GB2312" w:eastAsia="仿宋_GB2312" w:cs="Times New Roman"/>
          <w:spacing w:val="-4"/>
          <w:kern w:val="2"/>
          <w:sz w:val="32"/>
          <w:szCs w:val="22"/>
          <w:highlight w:val="none"/>
          <w:lang w:val="en-US" w:eastAsia="zh-CN" w:bidi="ar"/>
        </w:rPr>
        <w:t>10</w:t>
      </w:r>
      <w:r>
        <w:rPr>
          <w:rFonts w:hint="eastAsia" w:ascii="仿宋_GB2312" w:hAnsi="Times New Roman" w:eastAsia="仿宋_GB2312" w:cs="Times New Roman"/>
          <w:spacing w:val="-4"/>
          <w:kern w:val="2"/>
          <w:sz w:val="32"/>
          <w:szCs w:val="22"/>
          <w:highlight w:val="none"/>
          <w:lang w:val="en-US" w:eastAsia="zh-CN" w:bidi="ar"/>
        </w:rPr>
        <w:t>个，将每种类别两次平行测定结果的平均值填入下表，试验结果见表</w:t>
      </w:r>
      <w:r>
        <w:rPr>
          <w:rFonts w:hint="eastAsia" w:ascii="仿宋_GB2312" w:eastAsia="仿宋_GB2312" w:cs="Times New Roman"/>
          <w:spacing w:val="-4"/>
          <w:kern w:val="2"/>
          <w:sz w:val="32"/>
          <w:szCs w:val="22"/>
          <w:highlight w:val="none"/>
          <w:lang w:val="en-US" w:eastAsia="zh-CN" w:bidi="ar"/>
        </w:rPr>
        <w:t>4</w:t>
      </w:r>
      <w:r>
        <w:rPr>
          <w:rFonts w:hint="eastAsia" w:ascii="仿宋_GB2312" w:hAnsi="Times New Roman" w:eastAsia="仿宋_GB2312" w:cs="Times New Roman"/>
          <w:spacing w:val="-4"/>
          <w:kern w:val="2"/>
          <w:sz w:val="32"/>
          <w:szCs w:val="22"/>
          <w:highlight w:val="none"/>
          <w:lang w:val="en-US" w:eastAsia="zh-CN" w:bidi="ar"/>
        </w:rPr>
        <w:t>，合格率见图1</w:t>
      </w:r>
      <w:r>
        <w:rPr>
          <w:rFonts w:hint="eastAsia" w:ascii="仿宋_GB2312" w:eastAsia="仿宋_GB2312"/>
          <w:color w:val="auto"/>
          <w:spacing w:val="-4"/>
          <w:sz w:val="32"/>
          <w:szCs w:val="22"/>
        </w:rPr>
        <w:t>：</w:t>
      </w:r>
    </w:p>
    <w:p>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uto"/>
        <w:jc w:val="center"/>
        <w:textAlignment w:val="auto"/>
        <w:rPr>
          <w:rFonts w:hint="eastAsia" w:ascii="黑体" w:hAnsi="黑体" w:eastAsia="黑体" w:cs="黑体"/>
          <w:color w:val="auto"/>
          <w:szCs w:val="21"/>
          <w:lang w:bidi="ar"/>
        </w:rPr>
      </w:pPr>
      <w:r>
        <w:rPr>
          <w:rFonts w:hint="eastAsia" w:cs="Times New Roman"/>
          <w:kern w:val="2"/>
          <w:sz w:val="21"/>
          <w:szCs w:val="24"/>
          <w:lang w:val="en-US" w:eastAsia="zh-CN" w:bidi="ar-SA"/>
        </w:rPr>
        <w:tab/>
      </w:r>
      <w:r>
        <w:rPr>
          <w:rFonts w:hint="eastAsia" w:ascii="黑体" w:hAnsi="黑体" w:eastAsia="黑体" w:cs="黑体"/>
          <w:color w:val="auto"/>
          <w:szCs w:val="21"/>
          <w:lang w:bidi="ar"/>
        </w:rPr>
        <w:t>表</w:t>
      </w:r>
      <w:r>
        <w:rPr>
          <w:rFonts w:hint="eastAsia" w:ascii="黑体" w:hAnsi="黑体" w:eastAsia="黑体" w:cs="黑体"/>
          <w:color w:val="auto"/>
          <w:szCs w:val="21"/>
          <w:lang w:val="en-US" w:eastAsia="zh-CN" w:bidi="ar"/>
        </w:rPr>
        <w:t>4</w:t>
      </w:r>
      <w:r>
        <w:rPr>
          <w:rFonts w:hint="eastAsia" w:ascii="黑体" w:hAnsi="黑体" w:eastAsia="黑体" w:cs="黑体"/>
          <w:color w:val="auto"/>
          <w:szCs w:val="21"/>
          <w:lang w:bidi="ar"/>
        </w:rPr>
        <w:t xml:space="preserve"> </w:t>
      </w:r>
      <w:r>
        <w:rPr>
          <w:rFonts w:hint="eastAsia" w:ascii="黑体" w:hAnsi="黑体" w:eastAsia="黑体" w:cs="黑体"/>
          <w:color w:val="auto"/>
          <w:szCs w:val="21"/>
          <w:lang w:val="en-US" w:eastAsia="zh-CN" w:bidi="ar"/>
        </w:rPr>
        <w:t xml:space="preserve"> 橡胶工业用皂石</w:t>
      </w:r>
      <w:r>
        <w:rPr>
          <w:rFonts w:hint="eastAsia" w:ascii="黑体" w:hAnsi="黑体" w:eastAsia="黑体" w:cs="黑体"/>
          <w:color w:val="auto"/>
          <w:szCs w:val="21"/>
          <w:lang w:eastAsia="zh-CN" w:bidi="ar"/>
        </w:rPr>
        <w:t>理化性能验证</w:t>
      </w:r>
      <w:r>
        <w:rPr>
          <w:rFonts w:hint="eastAsia" w:ascii="黑体" w:hAnsi="黑体" w:eastAsia="黑体" w:cs="黑体"/>
          <w:color w:val="auto"/>
          <w:szCs w:val="21"/>
          <w:lang w:bidi="ar"/>
        </w:rPr>
        <w:t>数据</w:t>
      </w:r>
    </w:p>
    <w:tbl>
      <w:tblPr>
        <w:tblStyle w:val="13"/>
        <w:tblW w:w="51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759"/>
        <w:gridCol w:w="687"/>
        <w:gridCol w:w="687"/>
        <w:gridCol w:w="687"/>
        <w:gridCol w:w="687"/>
        <w:gridCol w:w="687"/>
        <w:gridCol w:w="687"/>
        <w:gridCol w:w="687"/>
        <w:gridCol w:w="687"/>
        <w:gridCol w:w="687"/>
        <w:gridCol w:w="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634" w:type="pct"/>
            <w:vMerge w:val="restar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项目</w:t>
            </w:r>
          </w:p>
        </w:tc>
        <w:tc>
          <w:tcPr>
            <w:tcW w:w="4365" w:type="pct"/>
            <w:gridSpan w:val="11"/>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bookmarkStart w:id="0" w:name="_GoBack"/>
            <w:r>
              <w:rPr>
                <w:rFonts w:hint="eastAsia" w:ascii="宋体" w:hAnsi="宋体" w:cs="宋体"/>
                <w:color w:val="auto"/>
                <w:sz w:val="18"/>
                <w:szCs w:val="18"/>
                <w:highlight w:val="none"/>
                <w:vertAlign w:val="baseline"/>
                <w:lang w:val="en-US" w:eastAsia="zh-CN"/>
              </w:rPr>
              <w:t>橡胶工业</w:t>
            </w:r>
            <w:r>
              <w:rPr>
                <w:rFonts w:hint="eastAsia" w:ascii="宋体" w:hAnsi="宋体" w:eastAsia="宋体" w:cs="宋体"/>
                <w:color w:val="auto"/>
                <w:sz w:val="18"/>
                <w:szCs w:val="18"/>
                <w:highlight w:val="none"/>
                <w:vertAlign w:val="baseline"/>
                <w:lang w:val="en-US" w:eastAsia="zh-CN"/>
              </w:rPr>
              <w:t>用</w:t>
            </w:r>
            <w:r>
              <w:rPr>
                <w:rFonts w:hint="eastAsia" w:ascii="宋体" w:hAnsi="宋体" w:cs="宋体"/>
                <w:color w:val="auto"/>
                <w:sz w:val="18"/>
                <w:szCs w:val="18"/>
                <w:highlight w:val="none"/>
                <w:vertAlign w:val="baseline"/>
                <w:lang w:val="en-US" w:eastAsia="zh-CN"/>
              </w:rPr>
              <w:t>皂石</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634" w:type="pct"/>
            <w:vMerge w:val="continue"/>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textAlignment w:val="auto"/>
              <w:rPr>
                <w:rFonts w:hint="eastAsia" w:ascii="宋体" w:hAnsi="宋体" w:eastAsia="宋体" w:cs="宋体"/>
                <w:color w:val="auto"/>
                <w:sz w:val="18"/>
                <w:szCs w:val="18"/>
                <w:highlight w:val="none"/>
                <w:vertAlign w:val="baseline"/>
                <w:lang w:eastAsia="zh-CN"/>
              </w:rPr>
            </w:pPr>
          </w:p>
        </w:tc>
        <w:tc>
          <w:tcPr>
            <w:tcW w:w="43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指标</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要求</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样1</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样2</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样3</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样4</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样5</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样6</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样7</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样8</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样9</w:t>
            </w:r>
          </w:p>
        </w:tc>
        <w:tc>
          <w:tcPr>
            <w:tcW w:w="39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634" w:type="pct"/>
            <w:noWrap w:val="0"/>
            <w:vAlign w:val="center"/>
          </w:tcPr>
          <w:p>
            <w:pPr>
              <w:pStyle w:val="18"/>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color w:val="auto"/>
                <w:kern w:val="0"/>
                <w:sz w:val="18"/>
                <w:szCs w:val="18"/>
                <w:highlight w:val="none"/>
                <w:lang w:val="en-US" w:eastAsia="zh-CN" w:bidi="en-US"/>
              </w:rPr>
            </w:pPr>
            <w:r>
              <w:rPr>
                <w:rFonts w:hint="eastAsia" w:ascii="宋体" w:hAnsi="宋体" w:eastAsia="宋体" w:cs="宋体"/>
                <w:kern w:val="0"/>
                <w:sz w:val="18"/>
                <w:szCs w:val="18"/>
                <w:lang w:val="en-US"/>
              </w:rPr>
              <w:t>SiO</w:t>
            </w:r>
            <w:r>
              <w:rPr>
                <w:rFonts w:hint="eastAsia" w:ascii="宋体" w:hAnsi="宋体" w:eastAsia="宋体" w:cs="宋体"/>
                <w:kern w:val="0"/>
                <w:sz w:val="18"/>
                <w:szCs w:val="18"/>
                <w:vertAlign w:val="subscript"/>
                <w:lang w:val="en-US"/>
              </w:rPr>
              <w:t>2</w:t>
            </w:r>
            <w:r>
              <w:rPr>
                <w:rFonts w:hint="eastAsia" w:ascii="宋体" w:cs="宋体"/>
                <w:sz w:val="18"/>
                <w:szCs w:val="18"/>
                <w:lang w:val="en-US" w:eastAsia="zh-CN"/>
              </w:rPr>
              <w:t>含量</w:t>
            </w:r>
            <w:r>
              <w:rPr>
                <w:rFonts w:hint="eastAsia" w:ascii="宋体" w:hAnsi="宋体" w:eastAsia="宋体" w:cs="宋体"/>
                <w:color w:val="auto"/>
                <w:kern w:val="0"/>
                <w:sz w:val="18"/>
                <w:szCs w:val="18"/>
                <w:highlight w:val="none"/>
                <w:lang w:val="en-US" w:eastAsia="zh-CN" w:bidi="en-US"/>
              </w:rPr>
              <w:t xml:space="preserve">/%            </w:t>
            </w:r>
            <w:r>
              <w:rPr>
                <w:rFonts w:hint="eastAsia" w:hAnsi="宋体" w:eastAsia="宋体" w:cs="宋体"/>
                <w:color w:val="auto"/>
                <w:kern w:val="0"/>
                <w:sz w:val="18"/>
                <w:szCs w:val="18"/>
                <w:highlight w:val="none"/>
                <w:lang w:val="en-US" w:eastAsia="zh-CN" w:bidi="en-US"/>
              </w:rPr>
              <w:t xml:space="preserve">                  </w:t>
            </w:r>
          </w:p>
        </w:tc>
        <w:tc>
          <w:tcPr>
            <w:tcW w:w="43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cs="宋体"/>
                <w:color w:val="auto"/>
                <w:sz w:val="18"/>
                <w:szCs w:val="18"/>
                <w:highlight w:val="none"/>
                <w:vertAlign w:val="baseline"/>
                <w:lang w:val="en-US" w:eastAsia="zh-CN"/>
              </w:rPr>
            </w:pPr>
            <w:r>
              <w:rPr>
                <w:rFonts w:hint="eastAsia" w:ascii="宋体" w:hAnsi="Times New Roman" w:eastAsia="宋体" w:cs="宋体"/>
                <w:sz w:val="18"/>
                <w:szCs w:val="18"/>
                <w:lang w:val="en-US"/>
              </w:rPr>
              <w:t xml:space="preserve"> </w:t>
            </w:r>
            <w:r>
              <w:rPr>
                <w:rFonts w:hint="eastAsia" w:ascii="宋体" w:hAnsi="Times New Roman" w:eastAsia="宋体" w:cs="宋体"/>
                <w:sz w:val="18"/>
                <w:szCs w:val="18"/>
                <w:lang w:eastAsia="zh-CN"/>
              </w:rPr>
              <w:t>≤</w:t>
            </w:r>
            <w:r>
              <w:rPr>
                <w:rFonts w:hint="eastAsia" w:ascii="宋体" w:hAnsi="Times New Roman" w:eastAsia="宋体" w:cs="宋体"/>
                <w:sz w:val="18"/>
                <w:szCs w:val="18"/>
                <w:lang w:val="en-US"/>
              </w:rPr>
              <w:t xml:space="preserve"> </w:t>
            </w:r>
            <w:r>
              <w:rPr>
                <w:rFonts w:hint="eastAsia" w:ascii="宋体" w:hAnsi="Times New Roman" w:eastAsia="宋体" w:cs="宋体"/>
                <w:sz w:val="18"/>
                <w:szCs w:val="18"/>
                <w:lang w:val="en-US" w:eastAsia="zh-CN"/>
              </w:rPr>
              <w:t>5</w:t>
            </w:r>
            <w:r>
              <w:rPr>
                <w:rFonts w:hint="eastAsia" w:ascii="宋体" w:hAnsi="Times New Roman" w:eastAsia="宋体" w:cs="宋体"/>
                <w:sz w:val="18"/>
                <w:szCs w:val="18"/>
                <w:lang w:val="en-US"/>
              </w:rPr>
              <w:t>0.00</w:t>
            </w:r>
          </w:p>
        </w:tc>
        <w:tc>
          <w:tcPr>
            <w:tcW w:w="392"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48.76</w:t>
            </w:r>
          </w:p>
        </w:tc>
        <w:tc>
          <w:tcPr>
            <w:tcW w:w="392"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45.21</w:t>
            </w:r>
          </w:p>
        </w:tc>
        <w:tc>
          <w:tcPr>
            <w:tcW w:w="392"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42.35</w:t>
            </w:r>
          </w:p>
        </w:tc>
        <w:tc>
          <w:tcPr>
            <w:tcW w:w="392"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46.99</w:t>
            </w:r>
          </w:p>
        </w:tc>
        <w:tc>
          <w:tcPr>
            <w:tcW w:w="392"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47.83</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46.28</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45.61</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47.29</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48.64</w:t>
            </w:r>
          </w:p>
        </w:tc>
        <w:tc>
          <w:tcPr>
            <w:tcW w:w="39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50.29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634" w:type="pct"/>
            <w:noWrap w:val="0"/>
            <w:vAlign w:val="center"/>
          </w:tcPr>
          <w:p>
            <w:pPr>
              <w:pStyle w:val="18"/>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color w:val="auto"/>
                <w:kern w:val="0"/>
                <w:sz w:val="18"/>
                <w:szCs w:val="18"/>
                <w:highlight w:val="none"/>
                <w:lang w:val="en-US" w:eastAsia="zh-CN" w:bidi="en-US"/>
              </w:rPr>
            </w:pPr>
            <w:r>
              <w:rPr>
                <w:rFonts w:hint="eastAsia" w:cs="宋体"/>
                <w:sz w:val="18"/>
                <w:szCs w:val="18"/>
                <w:lang w:val="en-US" w:eastAsia="zh-CN"/>
              </w:rPr>
              <w:t>Mg</w:t>
            </w:r>
            <w:r>
              <w:rPr>
                <w:rFonts w:hint="eastAsia" w:ascii="宋体" w:hAnsi="Times New Roman" w:eastAsia="宋体" w:cs="宋体"/>
                <w:sz w:val="18"/>
                <w:szCs w:val="18"/>
                <w:lang w:val="en-US"/>
              </w:rPr>
              <w:t>O</w:t>
            </w:r>
            <w:r>
              <w:rPr>
                <w:rFonts w:hint="eastAsia" w:ascii="宋体" w:cs="宋体"/>
                <w:sz w:val="18"/>
                <w:szCs w:val="18"/>
                <w:lang w:val="en-US" w:eastAsia="zh-CN"/>
              </w:rPr>
              <w:t>含量</w:t>
            </w:r>
            <w:r>
              <w:rPr>
                <w:rFonts w:hint="eastAsia" w:ascii="宋体" w:hAnsi="宋体" w:eastAsia="宋体" w:cs="宋体"/>
                <w:color w:val="auto"/>
                <w:kern w:val="0"/>
                <w:sz w:val="18"/>
                <w:szCs w:val="18"/>
                <w:highlight w:val="none"/>
                <w:lang w:val="en-US" w:eastAsia="zh-CN" w:bidi="en-US"/>
              </w:rPr>
              <w:t xml:space="preserve">/%             </w:t>
            </w:r>
          </w:p>
        </w:tc>
        <w:tc>
          <w:tcPr>
            <w:tcW w:w="434"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≤21.00</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20.84</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19.63</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18.25</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20.78</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21.66</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20.47</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21.04</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19.19</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18.75</w:t>
            </w:r>
          </w:p>
        </w:tc>
        <w:tc>
          <w:tcPr>
            <w:tcW w:w="39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20.33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634" w:type="pct"/>
            <w:noWrap w:val="0"/>
            <w:vAlign w:val="center"/>
          </w:tcPr>
          <w:p>
            <w:pPr>
              <w:pStyle w:val="18"/>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color w:val="auto"/>
                <w:kern w:val="0"/>
                <w:sz w:val="18"/>
                <w:szCs w:val="18"/>
                <w:highlight w:val="none"/>
                <w:lang w:val="en-US" w:eastAsia="zh-CN" w:bidi="en-US"/>
              </w:rPr>
            </w:pPr>
            <w:r>
              <w:rPr>
                <w:rFonts w:hint="eastAsia" w:ascii="宋体" w:hAnsi="宋体" w:eastAsia="宋体" w:cs="宋体"/>
                <w:kern w:val="0"/>
                <w:sz w:val="18"/>
                <w:szCs w:val="18"/>
                <w:lang w:val="en-US"/>
              </w:rPr>
              <w:t>Al</w:t>
            </w:r>
            <w:r>
              <w:rPr>
                <w:rFonts w:hint="eastAsia" w:ascii="宋体" w:hAnsi="宋体" w:eastAsia="宋体" w:cs="宋体"/>
                <w:kern w:val="0"/>
                <w:sz w:val="18"/>
                <w:szCs w:val="18"/>
                <w:vertAlign w:val="subscript"/>
                <w:lang w:val="en-US"/>
              </w:rPr>
              <w:t>2</w:t>
            </w:r>
            <w:r>
              <w:rPr>
                <w:rFonts w:hint="eastAsia" w:ascii="宋体" w:hAnsi="宋体" w:eastAsia="宋体" w:cs="宋体"/>
                <w:kern w:val="0"/>
                <w:sz w:val="18"/>
                <w:szCs w:val="18"/>
                <w:lang w:val="en-US"/>
              </w:rPr>
              <w:t>O</w:t>
            </w:r>
            <w:r>
              <w:rPr>
                <w:rFonts w:hint="eastAsia" w:ascii="宋体" w:hAnsi="宋体" w:eastAsia="宋体" w:cs="宋体"/>
                <w:kern w:val="0"/>
                <w:sz w:val="18"/>
                <w:szCs w:val="18"/>
                <w:vertAlign w:val="subscript"/>
                <w:lang w:val="en-US"/>
              </w:rPr>
              <w:t>3</w:t>
            </w:r>
            <w:r>
              <w:rPr>
                <w:rFonts w:hint="eastAsia" w:ascii="宋体" w:cs="宋体"/>
                <w:sz w:val="18"/>
                <w:szCs w:val="18"/>
                <w:vertAlign w:val="baseline"/>
                <w:lang w:val="en-US" w:eastAsia="zh-CN"/>
              </w:rPr>
              <w:t>含量</w:t>
            </w:r>
            <w:r>
              <w:rPr>
                <w:rFonts w:hint="eastAsia" w:ascii="宋体" w:hAnsi="宋体" w:eastAsia="宋体" w:cs="宋体"/>
                <w:color w:val="auto"/>
                <w:kern w:val="0"/>
                <w:sz w:val="18"/>
                <w:szCs w:val="18"/>
                <w:highlight w:val="none"/>
                <w:lang w:val="en-US" w:eastAsia="zh-CN" w:bidi="en-US"/>
              </w:rPr>
              <w:t xml:space="preserve">/%               </w:t>
            </w:r>
          </w:p>
        </w:tc>
        <w:tc>
          <w:tcPr>
            <w:tcW w:w="434"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≥9.00</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9.67</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10.51</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10.86</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8.49</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11.67</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11.24</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10.28</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9.17</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9.55</w:t>
            </w:r>
          </w:p>
        </w:tc>
        <w:tc>
          <w:tcPr>
            <w:tcW w:w="39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634" w:type="pct"/>
            <w:noWrap w:val="0"/>
            <w:vAlign w:val="center"/>
          </w:tcPr>
          <w:p>
            <w:pPr>
              <w:pStyle w:val="18"/>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color w:val="auto"/>
                <w:kern w:val="0"/>
                <w:sz w:val="18"/>
                <w:szCs w:val="18"/>
                <w:highlight w:val="none"/>
                <w:lang w:val="en-US" w:eastAsia="zh-CN" w:bidi="en-US"/>
              </w:rPr>
            </w:pPr>
            <w:r>
              <w:rPr>
                <w:rFonts w:hint="eastAsia" w:ascii="宋体" w:hAnsi="Times New Roman" w:eastAsia="宋体" w:cs="宋体"/>
                <w:sz w:val="18"/>
                <w:szCs w:val="18"/>
              </w:rPr>
              <w:t>水分</w:t>
            </w:r>
            <w:r>
              <w:rPr>
                <w:rFonts w:hint="eastAsia" w:hAnsi="宋体" w:eastAsia="宋体" w:cs="宋体"/>
                <w:color w:val="auto"/>
                <w:kern w:val="0"/>
                <w:sz w:val="18"/>
                <w:szCs w:val="18"/>
                <w:highlight w:val="none"/>
                <w:lang w:val="en-US" w:eastAsia="zh-CN" w:bidi="en-US"/>
              </w:rPr>
              <w:t>/%</w:t>
            </w:r>
          </w:p>
        </w:tc>
        <w:tc>
          <w:tcPr>
            <w:tcW w:w="43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≤1.00</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0.95</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0.82</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0.94</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1.05</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1.18</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0.91</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0.83</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0.86</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0.92</w:t>
            </w:r>
          </w:p>
        </w:tc>
        <w:tc>
          <w:tcPr>
            <w:tcW w:w="39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634" w:type="pct"/>
            <w:noWrap w:val="0"/>
            <w:vAlign w:val="center"/>
          </w:tcPr>
          <w:p>
            <w:pPr>
              <w:pStyle w:val="18"/>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color w:val="auto"/>
                <w:kern w:val="0"/>
                <w:sz w:val="18"/>
                <w:szCs w:val="18"/>
                <w:highlight w:val="none"/>
                <w:lang w:val="en-US" w:eastAsia="zh-CN" w:bidi="en-US"/>
              </w:rPr>
            </w:pPr>
            <w:r>
              <w:rPr>
                <w:rFonts w:hint="eastAsia" w:ascii="宋体" w:hAnsi="宋体" w:eastAsia="宋体" w:cs="宋体"/>
                <w:color w:val="auto"/>
                <w:kern w:val="0"/>
                <w:sz w:val="18"/>
                <w:szCs w:val="18"/>
                <w:highlight w:val="none"/>
                <w:lang w:val="en-US" w:eastAsia="zh-CN" w:bidi="en-US"/>
              </w:rPr>
              <w:t xml:space="preserve">白度/%                    </w:t>
            </w:r>
          </w:p>
        </w:tc>
        <w:tc>
          <w:tcPr>
            <w:tcW w:w="434"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≥85.00</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88.25</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89.34</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86.51</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84.29</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85.04</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86.23</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86.94</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88.77</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84.97</w:t>
            </w:r>
          </w:p>
        </w:tc>
        <w:tc>
          <w:tcPr>
            <w:tcW w:w="39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87.51</w:t>
            </w:r>
          </w:p>
        </w:tc>
      </w:tr>
    </w:tbl>
    <w:p>
      <w:pPr>
        <w:keepNext w:val="0"/>
        <w:keepLines w:val="0"/>
        <w:pageBreakBefore w:val="0"/>
        <w:widowControl w:val="0"/>
        <w:tabs>
          <w:tab w:val="left" w:pos="2608"/>
        </w:tabs>
        <w:kinsoku/>
        <w:wordWrap/>
        <w:overflowPunct/>
        <w:topLinePunct w:val="0"/>
        <w:autoSpaceDE/>
        <w:autoSpaceDN/>
        <w:bidi w:val="0"/>
        <w:adjustRightInd/>
        <w:snapToGrid/>
        <w:ind w:firstLine="420" w:firstLineChars="200"/>
        <w:jc w:val="left"/>
        <w:textAlignment w:val="auto"/>
        <w:rPr>
          <w:rFonts w:hint="eastAsia" w:ascii="黑体" w:hAnsi="黑体" w:eastAsia="黑体" w:cs="黑体"/>
          <w:kern w:val="2"/>
          <w:sz w:val="21"/>
          <w:szCs w:val="24"/>
          <w:highlight w:val="none"/>
          <w:lang w:val="en-US" w:eastAsia="zh-CN" w:bidi="ar-SA"/>
        </w:rPr>
      </w:pPr>
      <w:r>
        <w:rPr>
          <w:rFonts w:hint="eastAsia" w:ascii="黑体" w:hAnsi="黑体" w:eastAsia="黑体" w:cs="黑体"/>
          <w:kern w:val="2"/>
          <w:sz w:val="21"/>
          <w:szCs w:val="24"/>
          <w:highlight w:val="none"/>
          <w:lang w:val="en-US" w:eastAsia="zh-CN" w:bidi="ar-SA"/>
        </w:rPr>
        <w:drawing>
          <wp:inline distT="0" distB="0" distL="114300" distR="114300">
            <wp:extent cx="4356735" cy="2524125"/>
            <wp:effectExtent l="0" t="0" r="5715"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keepNext w:val="0"/>
        <w:keepLines w:val="0"/>
        <w:widowControl w:val="0"/>
        <w:suppressLineNumbers w:val="0"/>
        <w:spacing w:before="0" w:beforeAutospacing="0" w:after="0" w:afterAutospacing="0" w:line="360" w:lineRule="auto"/>
        <w:ind w:right="0"/>
        <w:jc w:val="center"/>
        <w:rPr>
          <w:rFonts w:hint="eastAsia"/>
          <w:lang w:val="en-US" w:eastAsia="zh-CN"/>
        </w:rPr>
      </w:pPr>
      <w:r>
        <w:rPr>
          <w:rFonts w:hint="eastAsia" w:ascii="黑体" w:hAnsi="黑体" w:eastAsia="黑体" w:cs="黑体"/>
          <w:szCs w:val="21"/>
          <w:lang w:eastAsia="zh-CN"/>
        </w:rPr>
        <w:t>图</w:t>
      </w:r>
      <w:r>
        <w:rPr>
          <w:rFonts w:hint="eastAsia" w:ascii="黑体" w:hAnsi="黑体" w:eastAsia="黑体" w:cs="黑体"/>
          <w:szCs w:val="21"/>
          <w:lang w:val="en-US" w:eastAsia="zh-CN"/>
        </w:rPr>
        <w:t xml:space="preserve">1 </w:t>
      </w:r>
      <w:r>
        <w:rPr>
          <w:rFonts w:hint="eastAsia" w:ascii="黑体" w:hAnsi="黑体" w:eastAsia="黑体" w:cs="黑体"/>
          <w:color w:val="auto"/>
          <w:sz w:val="21"/>
          <w:szCs w:val="21"/>
          <w:lang w:val="en-US" w:eastAsia="zh-CN"/>
        </w:rPr>
        <w:t xml:space="preserve"> </w:t>
      </w:r>
      <w:r>
        <w:rPr>
          <w:rFonts w:hint="eastAsia" w:ascii="黑体" w:hAnsi="黑体" w:eastAsia="黑体" w:cs="黑体"/>
          <w:color w:val="auto"/>
          <w:szCs w:val="21"/>
          <w:lang w:val="en-US" w:eastAsia="zh-CN" w:bidi="ar"/>
        </w:rPr>
        <w:t>橡胶工业用皂石</w:t>
      </w:r>
      <w:r>
        <w:rPr>
          <w:rFonts w:hint="eastAsia" w:ascii="黑体" w:hAnsi="黑体" w:eastAsia="黑体" w:cs="黑体"/>
          <w:color w:val="auto"/>
          <w:szCs w:val="21"/>
          <w:lang w:eastAsia="zh-CN" w:bidi="ar"/>
        </w:rPr>
        <w:t>理化性能</w:t>
      </w:r>
      <w:r>
        <w:rPr>
          <w:rFonts w:hint="eastAsia" w:ascii="黑体" w:hAnsi="黑体" w:eastAsia="黑体" w:cs="黑体"/>
          <w:szCs w:val="21"/>
          <w:lang w:eastAsia="zh-CN"/>
        </w:rPr>
        <w:t>合格率数据图</w:t>
      </w:r>
    </w:p>
    <w:p>
      <w:pPr>
        <w:keepNext w:val="0"/>
        <w:keepLines w:val="0"/>
        <w:widowControl w:val="0"/>
        <w:suppressLineNumbers w:val="0"/>
        <w:spacing w:before="0" w:beforeAutospacing="0" w:after="0" w:afterAutospacing="0" w:line="360" w:lineRule="auto"/>
        <w:ind w:left="0" w:right="0" w:firstLine="624" w:firstLineChars="200"/>
        <w:jc w:val="both"/>
        <w:rPr>
          <w:rFonts w:hint="eastAsia" w:ascii="仿宋_GB2312" w:eastAsia="仿宋_GB2312"/>
          <w:color w:val="auto"/>
          <w:spacing w:val="-4"/>
          <w:sz w:val="32"/>
          <w:szCs w:val="22"/>
          <w:lang w:val="en-US" w:eastAsia="zh-CN"/>
        </w:rPr>
      </w:pPr>
      <w:r>
        <w:rPr>
          <w:rFonts w:hint="eastAsia" w:ascii="仿宋_GB2312" w:hAnsi="Times New Roman" w:eastAsia="仿宋_GB2312" w:cs="仿宋_GB2312"/>
          <w:spacing w:val="-4"/>
          <w:kern w:val="2"/>
          <w:sz w:val="32"/>
          <w:szCs w:val="22"/>
          <w:lang w:val="en-US" w:eastAsia="zh-CN" w:bidi="ar"/>
        </w:rPr>
        <w:t>从表</w:t>
      </w:r>
      <w:r>
        <w:rPr>
          <w:rFonts w:hint="eastAsia" w:ascii="仿宋_GB2312" w:eastAsia="仿宋_GB2312" w:cs="仿宋_GB2312"/>
          <w:spacing w:val="-4"/>
          <w:kern w:val="2"/>
          <w:sz w:val="32"/>
          <w:szCs w:val="22"/>
          <w:lang w:val="en-US" w:eastAsia="zh-CN" w:bidi="ar"/>
        </w:rPr>
        <w:t>4</w:t>
      </w:r>
      <w:r>
        <w:rPr>
          <w:rFonts w:hint="eastAsia" w:ascii="仿宋_GB2312" w:hAnsi="Times New Roman" w:eastAsia="仿宋_GB2312" w:cs="仿宋_GB2312"/>
          <w:spacing w:val="-4"/>
          <w:kern w:val="2"/>
          <w:sz w:val="32"/>
          <w:szCs w:val="22"/>
          <w:lang w:val="en-US" w:eastAsia="zh-CN" w:bidi="ar"/>
        </w:rPr>
        <w:t>及图1可以看出，</w:t>
      </w:r>
      <w:r>
        <w:rPr>
          <w:rFonts w:hint="eastAsia" w:ascii="仿宋_GB2312" w:eastAsia="仿宋_GB2312" w:cs="仿宋_GB2312"/>
          <w:spacing w:val="-4"/>
          <w:kern w:val="2"/>
          <w:sz w:val="32"/>
          <w:szCs w:val="22"/>
          <w:lang w:val="en-US" w:eastAsia="zh-CN" w:bidi="ar"/>
        </w:rPr>
        <w:t>橡胶工业</w:t>
      </w:r>
      <w:r>
        <w:rPr>
          <w:rFonts w:hint="eastAsia" w:ascii="仿宋_GB2312" w:hAnsi="Times New Roman" w:eastAsia="仿宋_GB2312" w:cs="仿宋_GB2312"/>
          <w:spacing w:val="-4"/>
          <w:kern w:val="2"/>
          <w:sz w:val="32"/>
          <w:szCs w:val="22"/>
          <w:lang w:val="en-US" w:eastAsia="zh-CN" w:bidi="ar"/>
        </w:rPr>
        <w:t>用</w:t>
      </w:r>
      <w:r>
        <w:rPr>
          <w:rFonts w:hint="eastAsia" w:ascii="仿宋_GB2312" w:eastAsia="仿宋_GB2312" w:cs="仿宋_GB2312"/>
          <w:spacing w:val="-4"/>
          <w:kern w:val="2"/>
          <w:sz w:val="32"/>
          <w:szCs w:val="22"/>
          <w:lang w:val="en-US" w:eastAsia="zh-CN" w:bidi="ar"/>
        </w:rPr>
        <w:t>皂</w:t>
      </w:r>
      <w:r>
        <w:rPr>
          <w:rFonts w:hint="eastAsia" w:ascii="仿宋_GB2312" w:hAnsi="Times New Roman" w:eastAsia="仿宋_GB2312" w:cs="仿宋_GB2312"/>
          <w:spacing w:val="-4"/>
          <w:kern w:val="2"/>
          <w:sz w:val="32"/>
          <w:szCs w:val="22"/>
          <w:lang w:val="en-US" w:eastAsia="zh-CN" w:bidi="ar"/>
        </w:rPr>
        <w:t>石</w:t>
      </w:r>
      <w:r>
        <w:rPr>
          <w:rFonts w:hint="eastAsia" w:ascii="仿宋_GB2312" w:eastAsia="仿宋_GB2312" w:cs="仿宋_GB2312"/>
          <w:spacing w:val="-4"/>
          <w:kern w:val="2"/>
          <w:sz w:val="32"/>
          <w:szCs w:val="22"/>
          <w:lang w:val="en-US" w:eastAsia="zh-CN" w:bidi="ar"/>
        </w:rPr>
        <w:t>SiO</w:t>
      </w:r>
      <w:r>
        <w:rPr>
          <w:rFonts w:hint="eastAsia" w:ascii="仿宋_GB2312" w:eastAsia="仿宋_GB2312" w:cs="仿宋_GB2312"/>
          <w:spacing w:val="-4"/>
          <w:kern w:val="2"/>
          <w:sz w:val="32"/>
          <w:szCs w:val="22"/>
          <w:vertAlign w:val="subscript"/>
          <w:lang w:val="en-US" w:eastAsia="zh-CN" w:bidi="ar"/>
        </w:rPr>
        <w:t>2</w:t>
      </w:r>
      <w:r>
        <w:rPr>
          <w:rFonts w:hint="eastAsia" w:ascii="仿宋_GB2312" w:eastAsia="仿宋_GB2312" w:cs="仿宋_GB2312"/>
          <w:spacing w:val="-4"/>
          <w:kern w:val="2"/>
          <w:sz w:val="32"/>
          <w:szCs w:val="22"/>
          <w:lang w:val="en-US" w:eastAsia="zh-CN" w:bidi="ar"/>
        </w:rPr>
        <w:t>指标</w:t>
      </w:r>
      <w:r>
        <w:rPr>
          <w:rFonts w:hint="eastAsia" w:ascii="仿宋_GB2312" w:hAnsi="Times New Roman" w:eastAsia="仿宋_GB2312" w:cs="仿宋_GB2312"/>
          <w:spacing w:val="-4"/>
          <w:kern w:val="2"/>
          <w:sz w:val="32"/>
          <w:szCs w:val="22"/>
          <w:lang w:val="en-US" w:eastAsia="zh-CN" w:bidi="ar"/>
        </w:rPr>
        <w:t>最大值为</w:t>
      </w:r>
      <w:r>
        <w:rPr>
          <w:rFonts w:hint="eastAsia" w:ascii="仿宋_GB2312" w:eastAsia="仿宋_GB2312" w:cs="仿宋_GB2312"/>
          <w:spacing w:val="-4"/>
          <w:kern w:val="2"/>
          <w:sz w:val="32"/>
          <w:szCs w:val="22"/>
          <w:lang w:val="en-US" w:eastAsia="zh-CN" w:bidi="ar"/>
        </w:rPr>
        <w:t>50.29%</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42.35</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其中7</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，1组数据不满足指标要求，SiO</w:t>
      </w:r>
      <w:r>
        <w:rPr>
          <w:rFonts w:hint="eastAsia" w:ascii="仿宋_GB2312" w:eastAsia="仿宋_GB2312" w:cs="仿宋_GB2312"/>
          <w:spacing w:val="-4"/>
          <w:kern w:val="2"/>
          <w:sz w:val="32"/>
          <w:szCs w:val="22"/>
          <w:vertAlign w:val="subscript"/>
          <w:lang w:val="en-US" w:eastAsia="zh-CN" w:bidi="ar"/>
        </w:rPr>
        <w:t>2</w:t>
      </w:r>
      <w:r>
        <w:rPr>
          <w:rFonts w:hint="eastAsia" w:ascii="仿宋_GB2312" w:eastAsia="仿宋_GB2312" w:cs="仿宋_GB2312"/>
          <w:spacing w:val="-4"/>
          <w:kern w:val="2"/>
          <w:sz w:val="32"/>
          <w:szCs w:val="22"/>
          <w:lang w:val="en-US" w:eastAsia="zh-CN" w:bidi="ar"/>
        </w:rPr>
        <w:t>指标合格率为90%，MgO指标</w:t>
      </w:r>
      <w:r>
        <w:rPr>
          <w:rFonts w:hint="eastAsia" w:ascii="仿宋_GB2312" w:hAnsi="Times New Roman" w:eastAsia="仿宋_GB2312" w:cs="仿宋_GB2312"/>
          <w:spacing w:val="-4"/>
          <w:kern w:val="2"/>
          <w:sz w:val="32"/>
          <w:szCs w:val="22"/>
          <w:lang w:val="en-US" w:eastAsia="zh-CN" w:bidi="ar"/>
        </w:rPr>
        <w:t>最大值为</w:t>
      </w:r>
      <w:r>
        <w:rPr>
          <w:rFonts w:hint="eastAsia" w:ascii="仿宋_GB2312" w:eastAsia="仿宋_GB2312" w:cs="仿宋_GB2312"/>
          <w:spacing w:val="-4"/>
          <w:kern w:val="2"/>
          <w:sz w:val="32"/>
          <w:szCs w:val="22"/>
          <w:lang w:val="en-US" w:eastAsia="zh-CN" w:bidi="ar"/>
        </w:rPr>
        <w:t>21.66%</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18.25</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其中8</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，2组数据不满足指标要求，MgO指标合格率为80%，Al</w:t>
      </w:r>
      <w:r>
        <w:rPr>
          <w:rFonts w:hint="eastAsia" w:ascii="仿宋_GB2312" w:eastAsia="仿宋_GB2312" w:cs="仿宋_GB2312"/>
          <w:spacing w:val="-4"/>
          <w:kern w:val="2"/>
          <w:sz w:val="32"/>
          <w:szCs w:val="22"/>
          <w:vertAlign w:val="subscript"/>
          <w:lang w:val="en-US" w:eastAsia="zh-CN" w:bidi="ar"/>
        </w:rPr>
        <w:t>2</w:t>
      </w:r>
      <w:r>
        <w:rPr>
          <w:rFonts w:hint="eastAsia" w:ascii="仿宋_GB2312" w:eastAsia="仿宋_GB2312" w:cs="仿宋_GB2312"/>
          <w:spacing w:val="-4"/>
          <w:kern w:val="2"/>
          <w:sz w:val="32"/>
          <w:szCs w:val="22"/>
          <w:lang w:val="en-US" w:eastAsia="zh-CN" w:bidi="ar"/>
        </w:rPr>
        <w:t>O</w:t>
      </w:r>
      <w:r>
        <w:rPr>
          <w:rFonts w:hint="eastAsia" w:ascii="仿宋_GB2312" w:eastAsia="仿宋_GB2312" w:cs="仿宋_GB2312"/>
          <w:spacing w:val="-4"/>
          <w:kern w:val="2"/>
          <w:sz w:val="32"/>
          <w:szCs w:val="22"/>
          <w:vertAlign w:val="subscript"/>
          <w:lang w:val="en-US" w:eastAsia="zh-CN" w:bidi="ar"/>
        </w:rPr>
        <w:t>3</w:t>
      </w:r>
      <w:r>
        <w:rPr>
          <w:rFonts w:hint="eastAsia" w:ascii="仿宋_GB2312" w:eastAsia="仿宋_GB2312" w:cs="仿宋_GB2312"/>
          <w:spacing w:val="-4"/>
          <w:kern w:val="2"/>
          <w:sz w:val="32"/>
          <w:szCs w:val="22"/>
          <w:lang w:val="en-US" w:eastAsia="zh-CN" w:bidi="ar"/>
        </w:rPr>
        <w:t>指标</w:t>
      </w:r>
      <w:r>
        <w:rPr>
          <w:rFonts w:hint="eastAsia" w:ascii="仿宋_GB2312" w:hAnsi="Times New Roman" w:eastAsia="仿宋_GB2312" w:cs="仿宋_GB2312"/>
          <w:spacing w:val="-4"/>
          <w:kern w:val="2"/>
          <w:sz w:val="32"/>
          <w:szCs w:val="22"/>
          <w:lang w:val="en-US" w:eastAsia="zh-CN" w:bidi="ar"/>
        </w:rPr>
        <w:t>最大值为</w:t>
      </w:r>
      <w:r>
        <w:rPr>
          <w:rFonts w:hint="eastAsia" w:ascii="仿宋_GB2312" w:eastAsia="仿宋_GB2312" w:cs="仿宋_GB2312"/>
          <w:spacing w:val="-4"/>
          <w:kern w:val="2"/>
          <w:sz w:val="32"/>
          <w:szCs w:val="22"/>
          <w:lang w:val="en-US" w:eastAsia="zh-CN" w:bidi="ar"/>
        </w:rPr>
        <w:t>11.67%</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8.49</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其中9</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，1组数据不满足指标要求，Al</w:t>
      </w:r>
      <w:r>
        <w:rPr>
          <w:rFonts w:hint="eastAsia" w:ascii="仿宋_GB2312" w:eastAsia="仿宋_GB2312" w:cs="仿宋_GB2312"/>
          <w:spacing w:val="-4"/>
          <w:kern w:val="2"/>
          <w:sz w:val="32"/>
          <w:szCs w:val="22"/>
          <w:vertAlign w:val="subscript"/>
          <w:lang w:val="en-US" w:eastAsia="zh-CN" w:bidi="ar"/>
        </w:rPr>
        <w:t>2</w:t>
      </w:r>
      <w:r>
        <w:rPr>
          <w:rFonts w:hint="eastAsia" w:ascii="仿宋_GB2312" w:eastAsia="仿宋_GB2312" w:cs="仿宋_GB2312"/>
          <w:spacing w:val="-4"/>
          <w:kern w:val="2"/>
          <w:sz w:val="32"/>
          <w:szCs w:val="22"/>
          <w:lang w:val="en-US" w:eastAsia="zh-CN" w:bidi="ar"/>
        </w:rPr>
        <w:t>O</w:t>
      </w:r>
      <w:r>
        <w:rPr>
          <w:rFonts w:hint="eastAsia" w:ascii="仿宋_GB2312" w:eastAsia="仿宋_GB2312" w:cs="仿宋_GB2312"/>
          <w:spacing w:val="-4"/>
          <w:kern w:val="2"/>
          <w:sz w:val="32"/>
          <w:szCs w:val="22"/>
          <w:vertAlign w:val="subscript"/>
          <w:lang w:val="en-US" w:eastAsia="zh-CN" w:bidi="ar"/>
        </w:rPr>
        <w:t>3</w:t>
      </w:r>
      <w:r>
        <w:rPr>
          <w:rFonts w:hint="eastAsia" w:ascii="仿宋_GB2312" w:eastAsia="仿宋_GB2312" w:cs="仿宋_GB2312"/>
          <w:spacing w:val="-4"/>
          <w:kern w:val="2"/>
          <w:sz w:val="32"/>
          <w:szCs w:val="22"/>
          <w:lang w:val="en-US" w:eastAsia="zh-CN" w:bidi="ar"/>
        </w:rPr>
        <w:t>指标合格率为90%，水分指标</w:t>
      </w:r>
      <w:r>
        <w:rPr>
          <w:rFonts w:hint="eastAsia" w:ascii="仿宋_GB2312" w:hAnsi="Times New Roman" w:eastAsia="仿宋_GB2312" w:cs="仿宋_GB2312"/>
          <w:spacing w:val="-4"/>
          <w:kern w:val="2"/>
          <w:sz w:val="32"/>
          <w:szCs w:val="22"/>
          <w:lang w:val="en-US" w:eastAsia="zh-CN" w:bidi="ar"/>
        </w:rPr>
        <w:t>最大值为</w:t>
      </w:r>
      <w:r>
        <w:rPr>
          <w:rFonts w:hint="eastAsia" w:ascii="仿宋_GB2312" w:eastAsia="仿宋_GB2312" w:cs="仿宋_GB2312"/>
          <w:spacing w:val="-4"/>
          <w:kern w:val="2"/>
          <w:sz w:val="32"/>
          <w:szCs w:val="22"/>
          <w:lang w:val="en-US" w:eastAsia="zh-CN" w:bidi="ar"/>
        </w:rPr>
        <w:t>1.18%</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0.80</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其中8</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，2组数据不满足要求，水分指标合格率为80%，白度指标</w:t>
      </w:r>
      <w:r>
        <w:rPr>
          <w:rFonts w:hint="eastAsia" w:ascii="仿宋_GB2312" w:hAnsi="Times New Roman" w:eastAsia="仿宋_GB2312" w:cs="仿宋_GB2312"/>
          <w:spacing w:val="-4"/>
          <w:kern w:val="2"/>
          <w:sz w:val="32"/>
          <w:szCs w:val="22"/>
          <w:lang w:val="en-US" w:eastAsia="zh-CN" w:bidi="ar"/>
        </w:rPr>
        <w:t>最大值为</w:t>
      </w:r>
      <w:r>
        <w:rPr>
          <w:rFonts w:hint="eastAsia" w:ascii="仿宋_GB2312" w:eastAsia="仿宋_GB2312" w:cs="仿宋_GB2312"/>
          <w:spacing w:val="-4"/>
          <w:kern w:val="2"/>
          <w:sz w:val="32"/>
          <w:szCs w:val="22"/>
          <w:lang w:val="en-US" w:eastAsia="zh-CN" w:bidi="ar"/>
        </w:rPr>
        <w:t>89.34%</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84.29</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其中8</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，2组数据不满足指标要求，白度指标合格率为80%。综上，橡胶工业</w:t>
      </w:r>
      <w:r>
        <w:rPr>
          <w:rFonts w:hint="eastAsia" w:ascii="仿宋_GB2312" w:hAnsi="Times New Roman" w:eastAsia="仿宋_GB2312" w:cs="仿宋_GB2312"/>
          <w:spacing w:val="-4"/>
          <w:kern w:val="2"/>
          <w:sz w:val="32"/>
          <w:szCs w:val="22"/>
          <w:lang w:val="en-US" w:eastAsia="zh-CN" w:bidi="ar"/>
        </w:rPr>
        <w:t>用</w:t>
      </w:r>
      <w:r>
        <w:rPr>
          <w:rFonts w:hint="eastAsia" w:ascii="仿宋_GB2312" w:eastAsia="仿宋_GB2312" w:cs="仿宋_GB2312"/>
          <w:spacing w:val="-4"/>
          <w:kern w:val="2"/>
          <w:sz w:val="32"/>
          <w:szCs w:val="22"/>
          <w:lang w:val="en-US" w:eastAsia="zh-CN" w:bidi="ar"/>
        </w:rPr>
        <w:t>皂</w:t>
      </w:r>
      <w:r>
        <w:rPr>
          <w:rFonts w:hint="eastAsia" w:ascii="仿宋_GB2312" w:hAnsi="Times New Roman" w:eastAsia="仿宋_GB2312" w:cs="仿宋_GB2312"/>
          <w:spacing w:val="-4"/>
          <w:kern w:val="2"/>
          <w:sz w:val="32"/>
          <w:szCs w:val="22"/>
          <w:lang w:val="en-US" w:eastAsia="zh-CN" w:bidi="ar"/>
        </w:rPr>
        <w:t>石验证合格率为</w:t>
      </w:r>
      <w:r>
        <w:rPr>
          <w:rFonts w:hint="eastAsia" w:ascii="仿宋_GB2312" w:eastAsia="仿宋_GB2312" w:cs="仿宋_GB2312"/>
          <w:spacing w:val="-4"/>
          <w:kern w:val="2"/>
          <w:sz w:val="32"/>
          <w:szCs w:val="22"/>
          <w:lang w:val="en-US" w:eastAsia="zh-CN" w:bidi="ar"/>
        </w:rPr>
        <w:t>84</w:t>
      </w:r>
      <w:r>
        <w:rPr>
          <w:rFonts w:hint="eastAsia" w:ascii="仿宋_GB2312" w:hAnsi="Times New Roman" w:eastAsia="仿宋_GB2312" w:cs="仿宋_GB2312"/>
          <w:spacing w:val="-4"/>
          <w:kern w:val="2"/>
          <w:sz w:val="32"/>
          <w:szCs w:val="22"/>
          <w:lang w:val="en-US" w:eastAsia="zh-CN" w:bidi="ar"/>
        </w:rPr>
        <w:t>%。</w:t>
      </w:r>
    </w:p>
    <w:p>
      <w:pPr>
        <w:pStyle w:val="2"/>
        <w:keepNext w:val="0"/>
        <w:keepLines w:val="0"/>
        <w:pageBreakBefore w:val="0"/>
        <w:widowControl w:val="0"/>
        <w:kinsoku/>
        <w:wordWrap/>
        <w:overflowPunct/>
        <w:topLinePunct w:val="0"/>
        <w:autoSpaceDE/>
        <w:autoSpaceDN/>
        <w:bidi w:val="0"/>
        <w:adjustRightInd/>
        <w:snapToGrid/>
        <w:spacing w:line="360" w:lineRule="auto"/>
        <w:ind w:firstLine="624" w:firstLineChars="200"/>
        <w:textAlignment w:val="auto"/>
        <w:rPr>
          <w:rFonts w:hint="eastAsia" w:cs="Times New Roman"/>
          <w:kern w:val="2"/>
          <w:sz w:val="21"/>
          <w:szCs w:val="24"/>
          <w:lang w:val="en-US" w:eastAsia="zh-CN" w:bidi="ar-SA"/>
        </w:rPr>
      </w:pPr>
      <w:r>
        <w:rPr>
          <w:rFonts w:hint="eastAsia" w:ascii="仿宋_GB2312" w:eastAsia="仿宋_GB2312" w:cs="Times New Roman"/>
          <w:spacing w:val="-4"/>
          <w:kern w:val="2"/>
          <w:sz w:val="32"/>
          <w:szCs w:val="22"/>
          <w:highlight w:val="none"/>
          <w:lang w:val="en-US" w:eastAsia="zh-CN" w:bidi="ar"/>
        </w:rPr>
        <w:t>石油工业</w:t>
      </w:r>
      <w:r>
        <w:rPr>
          <w:rFonts w:hint="eastAsia" w:ascii="仿宋_GB2312" w:hAnsi="Times New Roman" w:eastAsia="仿宋_GB2312" w:cs="Times New Roman"/>
          <w:spacing w:val="-4"/>
          <w:kern w:val="2"/>
          <w:sz w:val="32"/>
          <w:szCs w:val="22"/>
          <w:highlight w:val="none"/>
          <w:lang w:val="en-US" w:eastAsia="zh-CN" w:bidi="ar"/>
        </w:rPr>
        <w:t>用</w:t>
      </w:r>
      <w:r>
        <w:rPr>
          <w:rFonts w:hint="eastAsia" w:ascii="仿宋_GB2312" w:eastAsia="仿宋_GB2312" w:cs="Times New Roman"/>
          <w:spacing w:val="-4"/>
          <w:kern w:val="2"/>
          <w:sz w:val="32"/>
          <w:szCs w:val="22"/>
          <w:highlight w:val="none"/>
          <w:lang w:val="en-US" w:eastAsia="zh-CN" w:bidi="ar"/>
        </w:rPr>
        <w:t>皂石理化性能</w:t>
      </w:r>
      <w:r>
        <w:rPr>
          <w:rFonts w:hint="eastAsia" w:ascii="仿宋_GB2312" w:hAnsi="Times New Roman" w:eastAsia="仿宋_GB2312" w:cs="Times New Roman"/>
          <w:spacing w:val="-4"/>
          <w:kern w:val="2"/>
          <w:sz w:val="32"/>
          <w:szCs w:val="22"/>
          <w:highlight w:val="none"/>
          <w:lang w:val="en-US" w:eastAsia="zh-CN" w:bidi="ar"/>
        </w:rPr>
        <w:t>指标测定的样品数量为</w:t>
      </w:r>
      <w:r>
        <w:rPr>
          <w:rFonts w:hint="eastAsia" w:ascii="仿宋_GB2312" w:eastAsia="仿宋_GB2312" w:cs="Times New Roman"/>
          <w:spacing w:val="-4"/>
          <w:kern w:val="2"/>
          <w:sz w:val="32"/>
          <w:szCs w:val="22"/>
          <w:highlight w:val="none"/>
          <w:lang w:val="en-US" w:eastAsia="zh-CN" w:bidi="ar"/>
        </w:rPr>
        <w:t>10</w:t>
      </w:r>
      <w:r>
        <w:rPr>
          <w:rFonts w:hint="eastAsia" w:ascii="仿宋_GB2312" w:hAnsi="Times New Roman" w:eastAsia="仿宋_GB2312" w:cs="Times New Roman"/>
          <w:spacing w:val="-4"/>
          <w:kern w:val="2"/>
          <w:sz w:val="32"/>
          <w:szCs w:val="22"/>
          <w:highlight w:val="none"/>
          <w:lang w:val="en-US" w:eastAsia="zh-CN" w:bidi="ar"/>
        </w:rPr>
        <w:t>个，将每种类别两次平行测定结果的平均值填入下表，试验结果见表</w:t>
      </w:r>
      <w:r>
        <w:rPr>
          <w:rFonts w:hint="eastAsia" w:ascii="仿宋_GB2312" w:eastAsia="仿宋_GB2312" w:cs="Times New Roman"/>
          <w:spacing w:val="-4"/>
          <w:kern w:val="2"/>
          <w:sz w:val="32"/>
          <w:szCs w:val="22"/>
          <w:highlight w:val="none"/>
          <w:lang w:val="en-US" w:eastAsia="zh-CN" w:bidi="ar"/>
        </w:rPr>
        <w:t>5</w:t>
      </w:r>
      <w:r>
        <w:rPr>
          <w:rFonts w:hint="eastAsia" w:ascii="仿宋_GB2312" w:hAnsi="Times New Roman" w:eastAsia="仿宋_GB2312" w:cs="Times New Roman"/>
          <w:spacing w:val="-4"/>
          <w:kern w:val="2"/>
          <w:sz w:val="32"/>
          <w:szCs w:val="22"/>
          <w:highlight w:val="none"/>
          <w:lang w:val="en-US" w:eastAsia="zh-CN" w:bidi="ar"/>
        </w:rPr>
        <w:t>，合格率见图</w:t>
      </w:r>
      <w:r>
        <w:rPr>
          <w:rFonts w:hint="eastAsia" w:ascii="仿宋_GB2312" w:eastAsia="仿宋_GB2312" w:cs="Times New Roman"/>
          <w:spacing w:val="-4"/>
          <w:kern w:val="2"/>
          <w:sz w:val="32"/>
          <w:szCs w:val="22"/>
          <w:highlight w:val="none"/>
          <w:lang w:val="en-US" w:eastAsia="zh-CN" w:bidi="ar"/>
        </w:rPr>
        <w:t>2</w:t>
      </w:r>
      <w:r>
        <w:rPr>
          <w:rFonts w:hint="eastAsia" w:ascii="仿宋_GB2312" w:eastAsia="仿宋_GB2312"/>
          <w:color w:val="auto"/>
          <w:spacing w:val="-4"/>
          <w:sz w:val="32"/>
          <w:szCs w:val="22"/>
        </w:rPr>
        <w:t>：</w:t>
      </w:r>
    </w:p>
    <w:p>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uto"/>
        <w:jc w:val="center"/>
        <w:textAlignment w:val="auto"/>
        <w:rPr>
          <w:rFonts w:hint="eastAsia" w:ascii="黑体" w:hAnsi="黑体" w:eastAsia="黑体" w:cs="黑体"/>
          <w:color w:val="auto"/>
          <w:szCs w:val="21"/>
          <w:lang w:bidi="ar"/>
        </w:rPr>
      </w:pPr>
      <w:r>
        <w:rPr>
          <w:rFonts w:hint="eastAsia" w:cs="Times New Roman"/>
          <w:kern w:val="2"/>
          <w:sz w:val="21"/>
          <w:szCs w:val="24"/>
          <w:lang w:val="en-US" w:eastAsia="zh-CN" w:bidi="ar-SA"/>
        </w:rPr>
        <w:tab/>
      </w:r>
      <w:r>
        <w:rPr>
          <w:rFonts w:hint="eastAsia" w:ascii="黑体" w:hAnsi="黑体" w:eastAsia="黑体" w:cs="黑体"/>
          <w:color w:val="auto"/>
          <w:szCs w:val="21"/>
          <w:lang w:bidi="ar"/>
        </w:rPr>
        <w:t>表</w:t>
      </w:r>
      <w:r>
        <w:rPr>
          <w:rFonts w:hint="eastAsia" w:ascii="黑体" w:hAnsi="黑体" w:eastAsia="黑体" w:cs="黑体"/>
          <w:color w:val="auto"/>
          <w:szCs w:val="21"/>
          <w:lang w:val="en-US" w:eastAsia="zh-CN" w:bidi="ar"/>
        </w:rPr>
        <w:t>5</w:t>
      </w:r>
      <w:r>
        <w:rPr>
          <w:rFonts w:hint="eastAsia" w:ascii="黑体" w:hAnsi="黑体" w:eastAsia="黑体" w:cs="黑体"/>
          <w:color w:val="auto"/>
          <w:szCs w:val="21"/>
          <w:lang w:bidi="ar"/>
        </w:rPr>
        <w:t xml:space="preserve"> </w:t>
      </w:r>
      <w:r>
        <w:rPr>
          <w:rFonts w:hint="eastAsia" w:ascii="黑体" w:hAnsi="黑体" w:eastAsia="黑体" w:cs="黑体"/>
          <w:color w:val="auto"/>
          <w:szCs w:val="21"/>
          <w:lang w:val="en-US" w:eastAsia="zh-CN" w:bidi="ar"/>
        </w:rPr>
        <w:t>石油工业用皂石</w:t>
      </w:r>
      <w:r>
        <w:rPr>
          <w:rFonts w:hint="eastAsia" w:ascii="黑体" w:hAnsi="黑体" w:eastAsia="黑体" w:cs="黑体"/>
          <w:color w:val="auto"/>
          <w:szCs w:val="21"/>
          <w:lang w:eastAsia="zh-CN" w:bidi="ar"/>
        </w:rPr>
        <w:t>理化性能验证</w:t>
      </w:r>
      <w:r>
        <w:rPr>
          <w:rFonts w:hint="eastAsia" w:ascii="黑体" w:hAnsi="黑体" w:eastAsia="黑体" w:cs="黑体"/>
          <w:color w:val="auto"/>
          <w:szCs w:val="21"/>
          <w:lang w:bidi="ar"/>
        </w:rPr>
        <w:t>数据</w:t>
      </w:r>
    </w:p>
    <w:tbl>
      <w:tblPr>
        <w:tblStyle w:val="13"/>
        <w:tblW w:w="51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
        <w:gridCol w:w="970"/>
        <w:gridCol w:w="687"/>
        <w:gridCol w:w="687"/>
        <w:gridCol w:w="687"/>
        <w:gridCol w:w="687"/>
        <w:gridCol w:w="687"/>
        <w:gridCol w:w="687"/>
        <w:gridCol w:w="687"/>
        <w:gridCol w:w="687"/>
        <w:gridCol w:w="687"/>
        <w:gridCol w:w="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514" w:type="pct"/>
            <w:vMerge w:val="restar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项目</w:t>
            </w:r>
          </w:p>
        </w:tc>
        <w:tc>
          <w:tcPr>
            <w:tcW w:w="4485" w:type="pct"/>
            <w:gridSpan w:val="11"/>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石油工业</w:t>
            </w:r>
            <w:r>
              <w:rPr>
                <w:rFonts w:hint="eastAsia" w:ascii="宋体" w:hAnsi="宋体" w:eastAsia="宋体" w:cs="宋体"/>
                <w:color w:val="auto"/>
                <w:sz w:val="18"/>
                <w:szCs w:val="18"/>
                <w:highlight w:val="none"/>
                <w:vertAlign w:val="baseline"/>
                <w:lang w:val="en-US" w:eastAsia="zh-CN"/>
              </w:rPr>
              <w:t>用</w:t>
            </w:r>
            <w:r>
              <w:rPr>
                <w:rFonts w:hint="eastAsia" w:ascii="宋体" w:hAnsi="宋体" w:cs="宋体"/>
                <w:color w:val="auto"/>
                <w:sz w:val="18"/>
                <w:szCs w:val="18"/>
                <w:highlight w:val="none"/>
                <w:vertAlign w:val="baseline"/>
                <w:lang w:val="en-US" w:eastAsia="zh-CN"/>
              </w:rPr>
              <w:t>皂石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514" w:type="pct"/>
            <w:vMerge w:val="continue"/>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textAlignment w:val="auto"/>
              <w:rPr>
                <w:rFonts w:hint="eastAsia" w:ascii="宋体" w:hAnsi="宋体" w:eastAsia="宋体" w:cs="宋体"/>
                <w:color w:val="auto"/>
                <w:sz w:val="18"/>
                <w:szCs w:val="18"/>
                <w:highlight w:val="none"/>
                <w:vertAlign w:val="baseline"/>
                <w:lang w:eastAsia="zh-CN"/>
              </w:rPr>
            </w:pPr>
          </w:p>
        </w:tc>
        <w:tc>
          <w:tcPr>
            <w:tcW w:w="55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指标要求</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样1</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样2</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样3</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样4</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样5</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样6</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样7</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样8</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样9</w:t>
            </w:r>
          </w:p>
        </w:tc>
        <w:tc>
          <w:tcPr>
            <w:tcW w:w="39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514" w:type="pct"/>
            <w:noWrap w:val="0"/>
            <w:vAlign w:val="center"/>
          </w:tcPr>
          <w:p>
            <w:pPr>
              <w:pStyle w:val="18"/>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color w:val="auto"/>
                <w:kern w:val="0"/>
                <w:sz w:val="18"/>
                <w:szCs w:val="18"/>
                <w:highlight w:val="none"/>
                <w:lang w:val="en-US" w:eastAsia="zh-CN" w:bidi="en-US"/>
              </w:rPr>
            </w:pPr>
            <w:r>
              <w:rPr>
                <w:rFonts w:hint="eastAsia" w:ascii="宋体" w:hAnsi="Times New Roman" w:eastAsia="宋体" w:cs="宋体"/>
                <w:sz w:val="18"/>
                <w:szCs w:val="18"/>
                <w:lang w:val="en-US"/>
              </w:rPr>
              <w:t>SiO</w:t>
            </w:r>
            <w:r>
              <w:rPr>
                <w:rFonts w:hint="eastAsia" w:cs="宋体"/>
                <w:sz w:val="18"/>
                <w:szCs w:val="18"/>
                <w:vertAlign w:val="subscript"/>
                <w:lang w:val="en-US" w:eastAsia="zh-CN"/>
              </w:rPr>
              <w:t>2</w:t>
            </w:r>
            <w:r>
              <w:rPr>
                <w:rFonts w:hint="eastAsia" w:ascii="宋体" w:cs="宋体"/>
                <w:sz w:val="18"/>
                <w:szCs w:val="18"/>
                <w:lang w:val="en-US" w:eastAsia="zh-CN"/>
              </w:rPr>
              <w:t>含量</w:t>
            </w:r>
            <w:r>
              <w:rPr>
                <w:rFonts w:hint="eastAsia" w:ascii="宋体" w:hAnsi="宋体" w:eastAsia="宋体" w:cs="宋体"/>
                <w:color w:val="auto"/>
                <w:kern w:val="0"/>
                <w:sz w:val="18"/>
                <w:szCs w:val="18"/>
                <w:highlight w:val="none"/>
                <w:lang w:val="en-US" w:eastAsia="zh-CN" w:bidi="en-US"/>
              </w:rPr>
              <w:t xml:space="preserve">/%             </w:t>
            </w:r>
          </w:p>
        </w:tc>
        <w:tc>
          <w:tcPr>
            <w:tcW w:w="554"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≤48.00</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47.26</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45.93</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45.24</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46.51</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46.39</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47.61</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47.33</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45.79</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44.91</w:t>
            </w:r>
          </w:p>
        </w:tc>
        <w:tc>
          <w:tcPr>
            <w:tcW w:w="39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45.65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514" w:type="pct"/>
            <w:noWrap w:val="0"/>
            <w:vAlign w:val="center"/>
          </w:tcPr>
          <w:p>
            <w:pPr>
              <w:pStyle w:val="18"/>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color w:val="auto"/>
                <w:kern w:val="0"/>
                <w:sz w:val="18"/>
                <w:szCs w:val="18"/>
                <w:highlight w:val="none"/>
                <w:lang w:val="en-US" w:eastAsia="zh-CN" w:bidi="en-US"/>
              </w:rPr>
            </w:pPr>
            <w:r>
              <w:rPr>
                <w:rFonts w:hint="eastAsia" w:ascii="宋体" w:hAnsi="Times New Roman" w:eastAsia="宋体" w:cs="宋体"/>
                <w:sz w:val="18"/>
                <w:szCs w:val="18"/>
                <w:lang w:val="en-US"/>
              </w:rPr>
              <w:t>MgO</w:t>
            </w:r>
            <w:r>
              <w:rPr>
                <w:rFonts w:hint="eastAsia" w:ascii="宋体" w:cs="宋体"/>
                <w:sz w:val="18"/>
                <w:szCs w:val="18"/>
                <w:lang w:val="en-US" w:eastAsia="zh-CN"/>
              </w:rPr>
              <w:t>含量</w:t>
            </w:r>
            <w:r>
              <w:rPr>
                <w:rFonts w:hint="eastAsia" w:ascii="宋体" w:hAnsi="宋体" w:eastAsia="宋体" w:cs="宋体"/>
                <w:color w:val="auto"/>
                <w:kern w:val="0"/>
                <w:sz w:val="18"/>
                <w:szCs w:val="18"/>
                <w:highlight w:val="none"/>
                <w:lang w:val="en-US" w:eastAsia="zh-CN" w:bidi="en-US"/>
              </w:rPr>
              <w:t xml:space="preserve">/%              </w:t>
            </w:r>
          </w:p>
        </w:tc>
        <w:tc>
          <w:tcPr>
            <w:tcW w:w="554"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≤18.00</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16.51</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18.02</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17.95</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17.64</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17.29</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16.41</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15.83</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16.60</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15.98</w:t>
            </w:r>
          </w:p>
        </w:tc>
        <w:tc>
          <w:tcPr>
            <w:tcW w:w="39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17.39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514" w:type="pct"/>
            <w:noWrap w:val="0"/>
            <w:vAlign w:val="center"/>
          </w:tcPr>
          <w:p>
            <w:pPr>
              <w:pStyle w:val="18"/>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color w:val="auto"/>
                <w:kern w:val="0"/>
                <w:sz w:val="18"/>
                <w:szCs w:val="18"/>
                <w:highlight w:val="none"/>
                <w:lang w:val="en-US" w:eastAsia="zh-CN" w:bidi="en-US"/>
              </w:rPr>
            </w:pPr>
            <w:r>
              <w:rPr>
                <w:rFonts w:hint="eastAsia" w:cs="宋体"/>
                <w:sz w:val="18"/>
                <w:szCs w:val="18"/>
                <w:lang w:val="en-US" w:eastAsia="zh-CN"/>
              </w:rPr>
              <w:t>Al</w:t>
            </w:r>
            <w:r>
              <w:rPr>
                <w:rFonts w:hint="eastAsia" w:ascii="宋体" w:hAnsi="Times New Roman" w:eastAsia="宋体" w:cs="宋体"/>
                <w:sz w:val="18"/>
                <w:szCs w:val="18"/>
                <w:vertAlign w:val="subscript"/>
                <w:lang w:val="en-US"/>
              </w:rPr>
              <w:t>2</w:t>
            </w:r>
            <w:r>
              <w:rPr>
                <w:rFonts w:hint="eastAsia" w:ascii="宋体" w:hAnsi="Times New Roman" w:eastAsia="宋体" w:cs="宋体"/>
                <w:sz w:val="18"/>
                <w:szCs w:val="18"/>
                <w:lang w:val="en-US"/>
              </w:rPr>
              <w:t>O</w:t>
            </w:r>
            <w:r>
              <w:rPr>
                <w:rFonts w:hint="eastAsia" w:ascii="宋体" w:cs="宋体"/>
                <w:sz w:val="18"/>
                <w:szCs w:val="18"/>
                <w:lang w:val="en-US" w:eastAsia="zh-CN"/>
              </w:rPr>
              <w:t>含量</w:t>
            </w:r>
            <w:r>
              <w:rPr>
                <w:rFonts w:hint="eastAsia" w:ascii="宋体" w:hAnsi="宋体" w:eastAsia="宋体" w:cs="宋体"/>
                <w:color w:val="auto"/>
                <w:kern w:val="0"/>
                <w:sz w:val="18"/>
                <w:szCs w:val="18"/>
                <w:highlight w:val="none"/>
                <w:lang w:val="en-US" w:eastAsia="zh-CN" w:bidi="en-US"/>
              </w:rPr>
              <w:t xml:space="preserve">/%                          </w:t>
            </w:r>
          </w:p>
        </w:tc>
        <w:tc>
          <w:tcPr>
            <w:tcW w:w="554"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≥8.00</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8.56</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8.17</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8.25</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8.80</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8.74</w:t>
            </w:r>
          </w:p>
        </w:tc>
        <w:tc>
          <w:tcPr>
            <w:tcW w:w="392"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8.06</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7.12</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8.35</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8.49</w:t>
            </w:r>
          </w:p>
        </w:tc>
        <w:tc>
          <w:tcPr>
            <w:tcW w:w="39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514" w:type="pct"/>
            <w:noWrap w:val="0"/>
            <w:vAlign w:val="center"/>
          </w:tcPr>
          <w:p>
            <w:pPr>
              <w:pStyle w:val="18"/>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color w:val="auto"/>
                <w:kern w:val="0"/>
                <w:sz w:val="18"/>
                <w:szCs w:val="18"/>
                <w:highlight w:val="none"/>
                <w:lang w:val="en-US" w:eastAsia="zh-CN" w:bidi="en-US"/>
              </w:rPr>
            </w:pPr>
            <w:r>
              <w:rPr>
                <w:rFonts w:hint="eastAsia" w:cs="宋体"/>
                <w:sz w:val="18"/>
                <w:szCs w:val="18"/>
                <w:lang w:eastAsia="zh-CN"/>
              </w:rPr>
              <w:t>烧失量</w:t>
            </w:r>
            <w:r>
              <w:rPr>
                <w:rFonts w:hint="eastAsia" w:hAnsi="宋体" w:eastAsia="宋体" w:cs="宋体"/>
                <w:color w:val="auto"/>
                <w:kern w:val="0"/>
                <w:sz w:val="18"/>
                <w:szCs w:val="18"/>
                <w:highlight w:val="none"/>
                <w:lang w:val="en-US" w:eastAsia="zh-CN" w:bidi="en-US"/>
              </w:rPr>
              <w:t>/%</w:t>
            </w:r>
          </w:p>
        </w:tc>
        <w:tc>
          <w:tcPr>
            <w:tcW w:w="55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sz w:val="18"/>
                <w:szCs w:val="18"/>
                <w:highlight w:val="none"/>
                <w:vertAlign w:val="baseline"/>
                <w:lang w:val="en-US" w:eastAsia="zh-CN"/>
              </w:rPr>
              <w:t>≥8.00</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7.61</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8.32</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8.69</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8.84</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8.50</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8.59</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8.68</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8.48</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7.98</w:t>
            </w:r>
          </w:p>
        </w:tc>
        <w:tc>
          <w:tcPr>
            <w:tcW w:w="39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514" w:type="pct"/>
            <w:noWrap w:val="0"/>
            <w:vAlign w:val="center"/>
          </w:tcPr>
          <w:p>
            <w:pPr>
              <w:pStyle w:val="18"/>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color w:val="auto"/>
                <w:kern w:val="0"/>
                <w:sz w:val="18"/>
                <w:szCs w:val="18"/>
                <w:highlight w:val="none"/>
                <w:lang w:val="en-US" w:eastAsia="zh-CN" w:bidi="en-US"/>
              </w:rPr>
            </w:pPr>
            <w:r>
              <w:rPr>
                <w:rFonts w:hint="eastAsia" w:hAnsi="宋体" w:cs="宋体"/>
                <w:color w:val="auto"/>
                <w:kern w:val="0"/>
                <w:sz w:val="18"/>
                <w:szCs w:val="18"/>
                <w:highlight w:val="none"/>
                <w:lang w:val="en-US" w:eastAsia="zh-CN" w:bidi="en-US"/>
              </w:rPr>
              <w:t>水分</w:t>
            </w:r>
            <w:r>
              <w:rPr>
                <w:rFonts w:hint="eastAsia" w:ascii="宋体" w:hAnsi="宋体" w:eastAsia="宋体" w:cs="宋体"/>
                <w:color w:val="auto"/>
                <w:kern w:val="0"/>
                <w:sz w:val="18"/>
                <w:szCs w:val="18"/>
                <w:highlight w:val="none"/>
                <w:lang w:val="en-US" w:eastAsia="zh-CN" w:bidi="en-US"/>
              </w:rPr>
              <w:t xml:space="preserve">/%                    </w:t>
            </w:r>
          </w:p>
        </w:tc>
        <w:tc>
          <w:tcPr>
            <w:tcW w:w="554"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≤1.00</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0.98</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0.86</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1.03</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0.75</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0.79</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1.08</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0.93</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0.89</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0.97</w:t>
            </w:r>
          </w:p>
        </w:tc>
        <w:tc>
          <w:tcPr>
            <w:tcW w:w="39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0.88</w:t>
            </w:r>
          </w:p>
        </w:tc>
      </w:tr>
    </w:tbl>
    <w:p>
      <w:pPr>
        <w:keepNext w:val="0"/>
        <w:keepLines w:val="0"/>
        <w:widowControl w:val="0"/>
        <w:suppressLineNumbers w:val="0"/>
        <w:spacing w:before="0" w:beforeAutospacing="0" w:after="0" w:afterAutospacing="0" w:line="360" w:lineRule="auto"/>
        <w:ind w:left="0" w:right="0" w:firstLine="420" w:firstLineChars="200"/>
        <w:jc w:val="both"/>
        <w:rPr>
          <w:rFonts w:hint="eastAsia" w:ascii="黑体" w:hAnsi="黑体" w:eastAsia="黑体" w:cs="黑体"/>
          <w:kern w:val="2"/>
          <w:sz w:val="21"/>
          <w:szCs w:val="24"/>
          <w:highlight w:val="none"/>
          <w:lang w:val="en-US" w:eastAsia="zh-CN" w:bidi="ar-SA"/>
        </w:rPr>
      </w:pPr>
      <w:r>
        <w:rPr>
          <w:rFonts w:hint="eastAsia" w:ascii="黑体" w:hAnsi="黑体" w:eastAsia="黑体" w:cs="黑体"/>
          <w:kern w:val="2"/>
          <w:sz w:val="21"/>
          <w:szCs w:val="24"/>
          <w:highlight w:val="none"/>
          <w:lang w:val="en-US" w:eastAsia="zh-CN" w:bidi="ar-SA"/>
        </w:rPr>
        <w:drawing>
          <wp:inline distT="0" distB="0" distL="114300" distR="114300">
            <wp:extent cx="4356735" cy="2524125"/>
            <wp:effectExtent l="0" t="0" r="5715"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keepNext w:val="0"/>
        <w:keepLines w:val="0"/>
        <w:widowControl w:val="0"/>
        <w:suppressLineNumbers w:val="0"/>
        <w:spacing w:before="0" w:beforeAutospacing="0" w:after="0" w:afterAutospacing="0" w:line="360" w:lineRule="auto"/>
        <w:ind w:right="0"/>
        <w:jc w:val="center"/>
        <w:rPr>
          <w:rFonts w:hint="eastAsia"/>
          <w:lang w:val="en-US" w:eastAsia="zh-CN"/>
        </w:rPr>
      </w:pPr>
      <w:r>
        <w:rPr>
          <w:rFonts w:hint="eastAsia" w:ascii="黑体" w:hAnsi="黑体" w:eastAsia="黑体" w:cs="黑体"/>
          <w:szCs w:val="21"/>
          <w:lang w:eastAsia="zh-CN"/>
        </w:rPr>
        <w:t>图</w:t>
      </w:r>
      <w:r>
        <w:rPr>
          <w:rFonts w:hint="eastAsia" w:ascii="黑体" w:hAnsi="黑体" w:eastAsia="黑体" w:cs="黑体"/>
          <w:szCs w:val="21"/>
          <w:lang w:val="en-US" w:eastAsia="zh-CN"/>
        </w:rPr>
        <w:t xml:space="preserve">2 </w:t>
      </w:r>
      <w:r>
        <w:rPr>
          <w:rFonts w:hint="eastAsia" w:ascii="黑体" w:hAnsi="黑体" w:eastAsia="黑体" w:cs="黑体"/>
          <w:color w:val="auto"/>
          <w:sz w:val="21"/>
          <w:szCs w:val="21"/>
          <w:lang w:val="en-US" w:eastAsia="zh-CN"/>
        </w:rPr>
        <w:t xml:space="preserve"> </w:t>
      </w:r>
      <w:r>
        <w:rPr>
          <w:rFonts w:hint="eastAsia" w:ascii="黑体" w:hAnsi="黑体" w:eastAsia="黑体" w:cs="黑体"/>
          <w:color w:val="auto"/>
          <w:szCs w:val="21"/>
          <w:lang w:val="en-US" w:eastAsia="zh-CN" w:bidi="ar"/>
        </w:rPr>
        <w:t>石油工业用皂石</w:t>
      </w:r>
      <w:r>
        <w:rPr>
          <w:rFonts w:hint="eastAsia" w:ascii="黑体" w:hAnsi="黑体" w:eastAsia="黑体" w:cs="黑体"/>
          <w:color w:val="auto"/>
          <w:szCs w:val="21"/>
          <w:lang w:eastAsia="zh-CN" w:bidi="ar"/>
        </w:rPr>
        <w:t>理化性能</w:t>
      </w:r>
      <w:r>
        <w:rPr>
          <w:rFonts w:hint="eastAsia" w:ascii="黑体" w:hAnsi="黑体" w:eastAsia="黑体" w:cs="黑体"/>
          <w:szCs w:val="21"/>
          <w:lang w:eastAsia="zh-CN"/>
        </w:rPr>
        <w:t>合格率数据图</w:t>
      </w:r>
    </w:p>
    <w:p>
      <w:pPr>
        <w:keepNext w:val="0"/>
        <w:keepLines w:val="0"/>
        <w:widowControl w:val="0"/>
        <w:suppressLineNumbers w:val="0"/>
        <w:spacing w:before="0" w:beforeAutospacing="0" w:after="0" w:afterAutospacing="0" w:line="360" w:lineRule="auto"/>
        <w:ind w:left="0" w:right="0" w:firstLine="624" w:firstLineChars="200"/>
        <w:jc w:val="both"/>
        <w:rPr>
          <w:rFonts w:hint="eastAsia" w:ascii="仿宋_GB2312" w:eastAsia="仿宋_GB2312"/>
          <w:color w:val="auto"/>
          <w:spacing w:val="-4"/>
          <w:sz w:val="32"/>
          <w:szCs w:val="22"/>
          <w:lang w:val="en-US" w:eastAsia="zh-CN"/>
        </w:rPr>
      </w:pPr>
      <w:r>
        <w:rPr>
          <w:rFonts w:hint="eastAsia" w:ascii="仿宋_GB2312" w:hAnsi="Times New Roman" w:eastAsia="仿宋_GB2312" w:cs="仿宋_GB2312"/>
          <w:spacing w:val="-4"/>
          <w:kern w:val="2"/>
          <w:sz w:val="32"/>
          <w:szCs w:val="22"/>
          <w:lang w:val="en-US" w:eastAsia="zh-CN" w:bidi="ar"/>
        </w:rPr>
        <w:t>从表</w:t>
      </w:r>
      <w:r>
        <w:rPr>
          <w:rFonts w:hint="eastAsia" w:ascii="仿宋_GB2312" w:eastAsia="仿宋_GB2312" w:cs="仿宋_GB2312"/>
          <w:spacing w:val="-4"/>
          <w:kern w:val="2"/>
          <w:sz w:val="32"/>
          <w:szCs w:val="22"/>
          <w:lang w:val="en-US" w:eastAsia="zh-CN" w:bidi="ar"/>
        </w:rPr>
        <w:t>5</w:t>
      </w:r>
      <w:r>
        <w:rPr>
          <w:rFonts w:hint="eastAsia" w:ascii="仿宋_GB2312" w:hAnsi="Times New Roman" w:eastAsia="仿宋_GB2312" w:cs="仿宋_GB2312"/>
          <w:spacing w:val="-4"/>
          <w:kern w:val="2"/>
          <w:sz w:val="32"/>
          <w:szCs w:val="22"/>
          <w:lang w:val="en-US" w:eastAsia="zh-CN" w:bidi="ar"/>
        </w:rPr>
        <w:t>及图</w:t>
      </w:r>
      <w:r>
        <w:rPr>
          <w:rFonts w:hint="eastAsia" w:ascii="仿宋_GB2312" w:eastAsia="仿宋_GB2312" w:cs="仿宋_GB2312"/>
          <w:spacing w:val="-4"/>
          <w:kern w:val="2"/>
          <w:sz w:val="32"/>
          <w:szCs w:val="22"/>
          <w:lang w:val="en-US" w:eastAsia="zh-CN" w:bidi="ar"/>
        </w:rPr>
        <w:t>2</w:t>
      </w:r>
      <w:r>
        <w:rPr>
          <w:rFonts w:hint="eastAsia" w:ascii="仿宋_GB2312" w:hAnsi="Times New Roman" w:eastAsia="仿宋_GB2312" w:cs="仿宋_GB2312"/>
          <w:spacing w:val="-4"/>
          <w:kern w:val="2"/>
          <w:sz w:val="32"/>
          <w:szCs w:val="22"/>
          <w:lang w:val="en-US" w:eastAsia="zh-CN" w:bidi="ar"/>
        </w:rPr>
        <w:t>可以看出，</w:t>
      </w:r>
      <w:r>
        <w:rPr>
          <w:rFonts w:hint="eastAsia" w:ascii="仿宋_GB2312" w:eastAsia="仿宋_GB2312" w:cs="仿宋_GB2312"/>
          <w:spacing w:val="-4"/>
          <w:kern w:val="2"/>
          <w:sz w:val="32"/>
          <w:szCs w:val="22"/>
          <w:lang w:val="en-US" w:eastAsia="zh-CN" w:bidi="ar"/>
        </w:rPr>
        <w:t>石油工业</w:t>
      </w:r>
      <w:r>
        <w:rPr>
          <w:rFonts w:hint="eastAsia" w:ascii="仿宋_GB2312" w:hAnsi="Times New Roman" w:eastAsia="仿宋_GB2312" w:cs="仿宋_GB2312"/>
          <w:spacing w:val="-4"/>
          <w:kern w:val="2"/>
          <w:sz w:val="32"/>
          <w:szCs w:val="22"/>
          <w:lang w:val="en-US" w:eastAsia="zh-CN" w:bidi="ar"/>
        </w:rPr>
        <w:t>用</w:t>
      </w:r>
      <w:r>
        <w:rPr>
          <w:rFonts w:hint="eastAsia" w:ascii="仿宋_GB2312" w:eastAsia="仿宋_GB2312" w:cs="仿宋_GB2312"/>
          <w:spacing w:val="-4"/>
          <w:kern w:val="2"/>
          <w:sz w:val="32"/>
          <w:szCs w:val="22"/>
          <w:lang w:val="en-US" w:eastAsia="zh-CN" w:bidi="ar"/>
        </w:rPr>
        <w:t>皂</w:t>
      </w:r>
      <w:r>
        <w:rPr>
          <w:rFonts w:hint="eastAsia" w:ascii="仿宋_GB2312" w:hAnsi="Times New Roman" w:eastAsia="仿宋_GB2312" w:cs="仿宋_GB2312"/>
          <w:spacing w:val="-4"/>
          <w:kern w:val="2"/>
          <w:sz w:val="32"/>
          <w:szCs w:val="22"/>
          <w:lang w:val="en-US" w:eastAsia="zh-CN" w:bidi="ar"/>
        </w:rPr>
        <w:t>石</w:t>
      </w:r>
      <w:r>
        <w:rPr>
          <w:rFonts w:hint="eastAsia" w:ascii="仿宋_GB2312" w:eastAsia="仿宋_GB2312" w:cs="仿宋_GB2312"/>
          <w:spacing w:val="-4"/>
          <w:kern w:val="2"/>
          <w:sz w:val="32"/>
          <w:szCs w:val="22"/>
          <w:lang w:val="en-US" w:eastAsia="zh-CN" w:bidi="ar"/>
        </w:rPr>
        <w:t>SiO</w:t>
      </w:r>
      <w:r>
        <w:rPr>
          <w:rFonts w:hint="eastAsia" w:ascii="仿宋_GB2312" w:eastAsia="仿宋_GB2312" w:cs="仿宋_GB2312"/>
          <w:spacing w:val="-4"/>
          <w:kern w:val="2"/>
          <w:sz w:val="32"/>
          <w:szCs w:val="22"/>
          <w:vertAlign w:val="subscript"/>
          <w:lang w:val="en-US" w:eastAsia="zh-CN" w:bidi="ar"/>
        </w:rPr>
        <w:t>2</w:t>
      </w:r>
      <w:r>
        <w:rPr>
          <w:rFonts w:hint="eastAsia" w:ascii="仿宋_GB2312" w:eastAsia="仿宋_GB2312" w:cs="仿宋_GB2312"/>
          <w:spacing w:val="-4"/>
          <w:kern w:val="2"/>
          <w:sz w:val="32"/>
          <w:szCs w:val="22"/>
          <w:lang w:val="en-US" w:eastAsia="zh-CN" w:bidi="ar"/>
        </w:rPr>
        <w:t>指标</w:t>
      </w:r>
      <w:r>
        <w:rPr>
          <w:rFonts w:hint="eastAsia" w:ascii="仿宋_GB2312" w:hAnsi="Times New Roman" w:eastAsia="仿宋_GB2312" w:cs="仿宋_GB2312"/>
          <w:spacing w:val="-4"/>
          <w:kern w:val="2"/>
          <w:sz w:val="32"/>
          <w:szCs w:val="22"/>
          <w:lang w:val="en-US" w:eastAsia="zh-CN" w:bidi="ar"/>
        </w:rPr>
        <w:t>最大值为</w:t>
      </w:r>
      <w:r>
        <w:rPr>
          <w:rFonts w:hint="eastAsia" w:ascii="仿宋_GB2312" w:eastAsia="仿宋_GB2312" w:cs="仿宋_GB2312"/>
          <w:spacing w:val="-4"/>
          <w:kern w:val="2"/>
          <w:sz w:val="32"/>
          <w:szCs w:val="22"/>
          <w:lang w:val="en-US" w:eastAsia="zh-CN" w:bidi="ar"/>
        </w:rPr>
        <w:t>47.61%</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44.91</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10</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数据全部</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，SiO</w:t>
      </w:r>
      <w:r>
        <w:rPr>
          <w:rFonts w:hint="eastAsia" w:ascii="仿宋_GB2312" w:eastAsia="仿宋_GB2312" w:cs="仿宋_GB2312"/>
          <w:spacing w:val="-4"/>
          <w:kern w:val="2"/>
          <w:sz w:val="32"/>
          <w:szCs w:val="22"/>
          <w:vertAlign w:val="subscript"/>
          <w:lang w:val="en-US" w:eastAsia="zh-CN" w:bidi="ar"/>
        </w:rPr>
        <w:t>2</w:t>
      </w:r>
      <w:r>
        <w:rPr>
          <w:rFonts w:hint="eastAsia" w:ascii="仿宋_GB2312" w:eastAsia="仿宋_GB2312" w:cs="仿宋_GB2312"/>
          <w:spacing w:val="-4"/>
          <w:kern w:val="2"/>
          <w:sz w:val="32"/>
          <w:szCs w:val="22"/>
          <w:lang w:val="en-US" w:eastAsia="zh-CN" w:bidi="ar"/>
        </w:rPr>
        <w:t>指标合格率为100%，MgO指标</w:t>
      </w:r>
      <w:r>
        <w:rPr>
          <w:rFonts w:hint="eastAsia" w:ascii="仿宋_GB2312" w:hAnsi="Times New Roman" w:eastAsia="仿宋_GB2312" w:cs="仿宋_GB2312"/>
          <w:spacing w:val="-4"/>
          <w:kern w:val="2"/>
          <w:sz w:val="32"/>
          <w:szCs w:val="22"/>
          <w:lang w:val="en-US" w:eastAsia="zh-CN" w:bidi="ar"/>
        </w:rPr>
        <w:t>最大值为</w:t>
      </w:r>
      <w:r>
        <w:rPr>
          <w:rFonts w:hint="eastAsia" w:ascii="仿宋_GB2312" w:eastAsia="仿宋_GB2312" w:cs="仿宋_GB2312"/>
          <w:spacing w:val="-4"/>
          <w:kern w:val="2"/>
          <w:sz w:val="32"/>
          <w:szCs w:val="22"/>
          <w:lang w:val="en-US" w:eastAsia="zh-CN" w:bidi="ar"/>
        </w:rPr>
        <w:t>18.02%</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15.83</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其中9</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，1组数据不满足指标要求，MgO指标合格率为90%，Al</w:t>
      </w:r>
      <w:r>
        <w:rPr>
          <w:rFonts w:hint="eastAsia" w:ascii="仿宋_GB2312" w:eastAsia="仿宋_GB2312" w:cs="仿宋_GB2312"/>
          <w:spacing w:val="-4"/>
          <w:kern w:val="2"/>
          <w:sz w:val="32"/>
          <w:szCs w:val="22"/>
          <w:vertAlign w:val="subscript"/>
          <w:lang w:val="en-US" w:eastAsia="zh-CN" w:bidi="ar"/>
        </w:rPr>
        <w:t>2</w:t>
      </w:r>
      <w:r>
        <w:rPr>
          <w:rFonts w:hint="eastAsia" w:ascii="仿宋_GB2312" w:eastAsia="仿宋_GB2312" w:cs="仿宋_GB2312"/>
          <w:spacing w:val="-4"/>
          <w:kern w:val="2"/>
          <w:sz w:val="32"/>
          <w:szCs w:val="22"/>
          <w:lang w:val="en-US" w:eastAsia="zh-CN" w:bidi="ar"/>
        </w:rPr>
        <w:t>O</w:t>
      </w:r>
      <w:r>
        <w:rPr>
          <w:rFonts w:hint="eastAsia" w:ascii="仿宋_GB2312" w:eastAsia="仿宋_GB2312" w:cs="仿宋_GB2312"/>
          <w:spacing w:val="-4"/>
          <w:kern w:val="2"/>
          <w:sz w:val="32"/>
          <w:szCs w:val="22"/>
          <w:vertAlign w:val="subscript"/>
          <w:lang w:val="en-US" w:eastAsia="zh-CN" w:bidi="ar"/>
        </w:rPr>
        <w:t>3</w:t>
      </w:r>
      <w:r>
        <w:rPr>
          <w:rFonts w:hint="eastAsia" w:ascii="仿宋_GB2312" w:eastAsia="仿宋_GB2312" w:cs="仿宋_GB2312"/>
          <w:spacing w:val="-4"/>
          <w:kern w:val="2"/>
          <w:sz w:val="32"/>
          <w:szCs w:val="22"/>
          <w:lang w:val="en-US" w:eastAsia="zh-CN" w:bidi="ar"/>
        </w:rPr>
        <w:t>指标</w:t>
      </w:r>
      <w:r>
        <w:rPr>
          <w:rFonts w:hint="eastAsia" w:ascii="仿宋_GB2312" w:hAnsi="Times New Roman" w:eastAsia="仿宋_GB2312" w:cs="仿宋_GB2312"/>
          <w:spacing w:val="-4"/>
          <w:kern w:val="2"/>
          <w:sz w:val="32"/>
          <w:szCs w:val="22"/>
          <w:lang w:val="en-US" w:eastAsia="zh-CN" w:bidi="ar"/>
        </w:rPr>
        <w:t>最大值为</w:t>
      </w:r>
      <w:r>
        <w:rPr>
          <w:rFonts w:hint="eastAsia" w:ascii="仿宋_GB2312" w:eastAsia="仿宋_GB2312" w:cs="仿宋_GB2312"/>
          <w:spacing w:val="-4"/>
          <w:kern w:val="2"/>
          <w:sz w:val="32"/>
          <w:szCs w:val="22"/>
          <w:lang w:val="en-US" w:eastAsia="zh-CN" w:bidi="ar"/>
        </w:rPr>
        <w:t>8.82%</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7.12</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其中9</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，1组数据不满足指标要求，Al</w:t>
      </w:r>
      <w:r>
        <w:rPr>
          <w:rFonts w:hint="eastAsia" w:ascii="仿宋_GB2312" w:eastAsia="仿宋_GB2312" w:cs="仿宋_GB2312"/>
          <w:spacing w:val="-4"/>
          <w:kern w:val="2"/>
          <w:sz w:val="32"/>
          <w:szCs w:val="22"/>
          <w:vertAlign w:val="subscript"/>
          <w:lang w:val="en-US" w:eastAsia="zh-CN" w:bidi="ar"/>
        </w:rPr>
        <w:t>2</w:t>
      </w:r>
      <w:r>
        <w:rPr>
          <w:rFonts w:hint="eastAsia" w:ascii="仿宋_GB2312" w:eastAsia="仿宋_GB2312" w:cs="仿宋_GB2312"/>
          <w:spacing w:val="-4"/>
          <w:kern w:val="2"/>
          <w:sz w:val="32"/>
          <w:szCs w:val="22"/>
          <w:lang w:val="en-US" w:eastAsia="zh-CN" w:bidi="ar"/>
        </w:rPr>
        <w:t>O</w:t>
      </w:r>
      <w:r>
        <w:rPr>
          <w:rFonts w:hint="eastAsia" w:ascii="仿宋_GB2312" w:eastAsia="仿宋_GB2312" w:cs="仿宋_GB2312"/>
          <w:spacing w:val="-4"/>
          <w:kern w:val="2"/>
          <w:sz w:val="32"/>
          <w:szCs w:val="22"/>
          <w:vertAlign w:val="subscript"/>
          <w:lang w:val="en-US" w:eastAsia="zh-CN" w:bidi="ar"/>
        </w:rPr>
        <w:t>3</w:t>
      </w:r>
      <w:r>
        <w:rPr>
          <w:rFonts w:hint="eastAsia" w:ascii="仿宋_GB2312" w:eastAsia="仿宋_GB2312" w:cs="仿宋_GB2312"/>
          <w:spacing w:val="-4"/>
          <w:kern w:val="2"/>
          <w:sz w:val="32"/>
          <w:szCs w:val="22"/>
          <w:lang w:val="en-US" w:eastAsia="zh-CN" w:bidi="ar"/>
        </w:rPr>
        <w:t>指标合格率为90%，烧失量指标</w:t>
      </w:r>
      <w:r>
        <w:rPr>
          <w:rFonts w:hint="eastAsia" w:ascii="仿宋_GB2312" w:hAnsi="Times New Roman" w:eastAsia="仿宋_GB2312" w:cs="仿宋_GB2312"/>
          <w:spacing w:val="-4"/>
          <w:kern w:val="2"/>
          <w:sz w:val="32"/>
          <w:szCs w:val="22"/>
          <w:lang w:val="en-US" w:eastAsia="zh-CN" w:bidi="ar"/>
        </w:rPr>
        <w:t>最大值为</w:t>
      </w:r>
      <w:r>
        <w:rPr>
          <w:rFonts w:hint="eastAsia" w:ascii="仿宋_GB2312" w:eastAsia="仿宋_GB2312" w:cs="仿宋_GB2312"/>
          <w:spacing w:val="-4"/>
          <w:kern w:val="2"/>
          <w:sz w:val="32"/>
          <w:szCs w:val="22"/>
          <w:lang w:val="en-US" w:eastAsia="zh-CN" w:bidi="ar"/>
        </w:rPr>
        <w:t>8.84%</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7.61</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其中8</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，2组数据不满足要求，烧失量指标合格率为80%，水分指标</w:t>
      </w:r>
      <w:r>
        <w:rPr>
          <w:rFonts w:hint="eastAsia" w:ascii="仿宋_GB2312" w:hAnsi="Times New Roman" w:eastAsia="仿宋_GB2312" w:cs="仿宋_GB2312"/>
          <w:spacing w:val="-4"/>
          <w:kern w:val="2"/>
          <w:sz w:val="32"/>
          <w:szCs w:val="22"/>
          <w:lang w:val="en-US" w:eastAsia="zh-CN" w:bidi="ar"/>
        </w:rPr>
        <w:t>最大值为</w:t>
      </w:r>
      <w:r>
        <w:rPr>
          <w:rFonts w:hint="eastAsia" w:ascii="仿宋_GB2312" w:eastAsia="仿宋_GB2312" w:cs="仿宋_GB2312"/>
          <w:spacing w:val="-4"/>
          <w:kern w:val="2"/>
          <w:sz w:val="32"/>
          <w:szCs w:val="22"/>
          <w:lang w:val="en-US" w:eastAsia="zh-CN" w:bidi="ar"/>
        </w:rPr>
        <w:t>1.08%</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0.75</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其中8</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，2组数据不满足指标要求，水分指标合格率为80%。综上，石油工业</w:t>
      </w:r>
      <w:r>
        <w:rPr>
          <w:rFonts w:hint="eastAsia" w:ascii="仿宋_GB2312" w:hAnsi="Times New Roman" w:eastAsia="仿宋_GB2312" w:cs="仿宋_GB2312"/>
          <w:spacing w:val="-4"/>
          <w:kern w:val="2"/>
          <w:sz w:val="32"/>
          <w:szCs w:val="22"/>
          <w:lang w:val="en-US" w:eastAsia="zh-CN" w:bidi="ar"/>
        </w:rPr>
        <w:t>用</w:t>
      </w:r>
      <w:r>
        <w:rPr>
          <w:rFonts w:hint="eastAsia" w:ascii="仿宋_GB2312" w:eastAsia="仿宋_GB2312" w:cs="仿宋_GB2312"/>
          <w:spacing w:val="-4"/>
          <w:kern w:val="2"/>
          <w:sz w:val="32"/>
          <w:szCs w:val="22"/>
          <w:lang w:val="en-US" w:eastAsia="zh-CN" w:bidi="ar"/>
        </w:rPr>
        <w:t>皂</w:t>
      </w:r>
      <w:r>
        <w:rPr>
          <w:rFonts w:hint="eastAsia" w:ascii="仿宋_GB2312" w:hAnsi="Times New Roman" w:eastAsia="仿宋_GB2312" w:cs="仿宋_GB2312"/>
          <w:spacing w:val="-4"/>
          <w:kern w:val="2"/>
          <w:sz w:val="32"/>
          <w:szCs w:val="22"/>
          <w:lang w:val="en-US" w:eastAsia="zh-CN" w:bidi="ar"/>
        </w:rPr>
        <w:t>石验证合格率为</w:t>
      </w:r>
      <w:r>
        <w:rPr>
          <w:rFonts w:hint="eastAsia" w:ascii="仿宋_GB2312" w:eastAsia="仿宋_GB2312" w:cs="仿宋_GB2312"/>
          <w:spacing w:val="-4"/>
          <w:kern w:val="2"/>
          <w:sz w:val="32"/>
          <w:szCs w:val="22"/>
          <w:lang w:val="en-US" w:eastAsia="zh-CN" w:bidi="ar"/>
        </w:rPr>
        <w:t>88</w:t>
      </w:r>
      <w:r>
        <w:rPr>
          <w:rFonts w:hint="eastAsia" w:ascii="仿宋_GB2312" w:hAnsi="Times New Roman" w:eastAsia="仿宋_GB2312" w:cs="仿宋_GB2312"/>
          <w:spacing w:val="-4"/>
          <w:kern w:val="2"/>
          <w:sz w:val="32"/>
          <w:szCs w:val="22"/>
          <w:lang w:val="en-US" w:eastAsia="zh-CN" w:bidi="ar"/>
        </w:rPr>
        <w:t>%。</w:t>
      </w:r>
    </w:p>
    <w:p>
      <w:pPr>
        <w:pStyle w:val="2"/>
        <w:keepNext w:val="0"/>
        <w:keepLines w:val="0"/>
        <w:pageBreakBefore w:val="0"/>
        <w:widowControl w:val="0"/>
        <w:kinsoku/>
        <w:wordWrap/>
        <w:overflowPunct/>
        <w:topLinePunct w:val="0"/>
        <w:autoSpaceDE/>
        <w:autoSpaceDN/>
        <w:bidi w:val="0"/>
        <w:adjustRightInd/>
        <w:snapToGrid/>
        <w:spacing w:line="360" w:lineRule="auto"/>
        <w:ind w:firstLine="624" w:firstLineChars="200"/>
        <w:textAlignment w:val="auto"/>
        <w:rPr>
          <w:rFonts w:hint="eastAsia" w:cs="Times New Roman"/>
          <w:kern w:val="2"/>
          <w:sz w:val="21"/>
          <w:szCs w:val="24"/>
          <w:lang w:val="en-US" w:eastAsia="zh-CN" w:bidi="ar-SA"/>
        </w:rPr>
      </w:pPr>
      <w:r>
        <w:rPr>
          <w:rFonts w:hint="eastAsia" w:ascii="仿宋_GB2312" w:eastAsia="仿宋_GB2312" w:cs="Times New Roman"/>
          <w:spacing w:val="-4"/>
          <w:kern w:val="2"/>
          <w:sz w:val="32"/>
          <w:szCs w:val="22"/>
          <w:highlight w:val="none"/>
          <w:lang w:val="en-US" w:eastAsia="zh-CN" w:bidi="ar"/>
        </w:rPr>
        <w:t>涂料领域</w:t>
      </w:r>
      <w:r>
        <w:rPr>
          <w:rFonts w:hint="eastAsia" w:ascii="仿宋_GB2312" w:hAnsi="Times New Roman" w:eastAsia="仿宋_GB2312" w:cs="Times New Roman"/>
          <w:spacing w:val="-4"/>
          <w:kern w:val="2"/>
          <w:sz w:val="32"/>
          <w:szCs w:val="22"/>
          <w:highlight w:val="none"/>
          <w:lang w:val="en-US" w:eastAsia="zh-CN" w:bidi="ar"/>
        </w:rPr>
        <w:t>用</w:t>
      </w:r>
      <w:r>
        <w:rPr>
          <w:rFonts w:hint="eastAsia" w:ascii="仿宋_GB2312" w:eastAsia="仿宋_GB2312" w:cs="Times New Roman"/>
          <w:spacing w:val="-4"/>
          <w:kern w:val="2"/>
          <w:sz w:val="32"/>
          <w:szCs w:val="22"/>
          <w:highlight w:val="none"/>
          <w:lang w:val="en-US" w:eastAsia="zh-CN" w:bidi="ar"/>
        </w:rPr>
        <w:t>皂石理化性能</w:t>
      </w:r>
      <w:r>
        <w:rPr>
          <w:rFonts w:hint="eastAsia" w:ascii="仿宋_GB2312" w:hAnsi="Times New Roman" w:eastAsia="仿宋_GB2312" w:cs="Times New Roman"/>
          <w:spacing w:val="-4"/>
          <w:kern w:val="2"/>
          <w:sz w:val="32"/>
          <w:szCs w:val="22"/>
          <w:highlight w:val="none"/>
          <w:lang w:val="en-US" w:eastAsia="zh-CN" w:bidi="ar"/>
        </w:rPr>
        <w:t>指标测定的样品数量为</w:t>
      </w:r>
      <w:r>
        <w:rPr>
          <w:rFonts w:hint="eastAsia" w:ascii="仿宋_GB2312" w:eastAsia="仿宋_GB2312" w:cs="Times New Roman"/>
          <w:spacing w:val="-4"/>
          <w:kern w:val="2"/>
          <w:sz w:val="32"/>
          <w:szCs w:val="22"/>
          <w:highlight w:val="none"/>
          <w:lang w:val="en-US" w:eastAsia="zh-CN" w:bidi="ar"/>
        </w:rPr>
        <w:t>10</w:t>
      </w:r>
      <w:r>
        <w:rPr>
          <w:rFonts w:hint="eastAsia" w:ascii="仿宋_GB2312" w:hAnsi="Times New Roman" w:eastAsia="仿宋_GB2312" w:cs="Times New Roman"/>
          <w:spacing w:val="-4"/>
          <w:kern w:val="2"/>
          <w:sz w:val="32"/>
          <w:szCs w:val="22"/>
          <w:highlight w:val="none"/>
          <w:lang w:val="en-US" w:eastAsia="zh-CN" w:bidi="ar"/>
        </w:rPr>
        <w:t>个，将每种类别两次平行测定结果的平均值填入下表，试验结果见表</w:t>
      </w:r>
      <w:r>
        <w:rPr>
          <w:rFonts w:hint="eastAsia" w:ascii="仿宋_GB2312" w:eastAsia="仿宋_GB2312" w:cs="Times New Roman"/>
          <w:spacing w:val="-4"/>
          <w:kern w:val="2"/>
          <w:sz w:val="32"/>
          <w:szCs w:val="22"/>
          <w:highlight w:val="none"/>
          <w:lang w:val="en-US" w:eastAsia="zh-CN" w:bidi="ar"/>
        </w:rPr>
        <w:t>6</w:t>
      </w:r>
      <w:r>
        <w:rPr>
          <w:rFonts w:hint="eastAsia" w:ascii="仿宋_GB2312" w:hAnsi="Times New Roman" w:eastAsia="仿宋_GB2312" w:cs="Times New Roman"/>
          <w:spacing w:val="-4"/>
          <w:kern w:val="2"/>
          <w:sz w:val="32"/>
          <w:szCs w:val="22"/>
          <w:highlight w:val="none"/>
          <w:lang w:val="en-US" w:eastAsia="zh-CN" w:bidi="ar"/>
        </w:rPr>
        <w:t>，合格率见图</w:t>
      </w:r>
      <w:r>
        <w:rPr>
          <w:rFonts w:hint="eastAsia" w:ascii="仿宋_GB2312" w:eastAsia="仿宋_GB2312" w:cs="Times New Roman"/>
          <w:spacing w:val="-4"/>
          <w:kern w:val="2"/>
          <w:sz w:val="32"/>
          <w:szCs w:val="22"/>
          <w:highlight w:val="none"/>
          <w:lang w:val="en-US" w:eastAsia="zh-CN" w:bidi="ar"/>
        </w:rPr>
        <w:t>3</w:t>
      </w:r>
      <w:r>
        <w:rPr>
          <w:rFonts w:hint="eastAsia" w:ascii="仿宋_GB2312" w:eastAsia="仿宋_GB2312"/>
          <w:color w:val="auto"/>
          <w:spacing w:val="-4"/>
          <w:sz w:val="32"/>
          <w:szCs w:val="22"/>
        </w:rPr>
        <w:t>：</w:t>
      </w:r>
    </w:p>
    <w:p>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uto"/>
        <w:jc w:val="center"/>
        <w:textAlignment w:val="auto"/>
        <w:rPr>
          <w:rFonts w:hint="eastAsia" w:ascii="黑体" w:hAnsi="黑体" w:eastAsia="黑体" w:cs="黑体"/>
          <w:color w:val="auto"/>
          <w:szCs w:val="21"/>
          <w:lang w:bidi="ar"/>
        </w:rPr>
      </w:pPr>
      <w:r>
        <w:rPr>
          <w:rFonts w:hint="eastAsia" w:cs="Times New Roman"/>
          <w:kern w:val="2"/>
          <w:sz w:val="21"/>
          <w:szCs w:val="24"/>
          <w:lang w:val="en-US" w:eastAsia="zh-CN" w:bidi="ar-SA"/>
        </w:rPr>
        <w:tab/>
      </w:r>
      <w:r>
        <w:rPr>
          <w:rFonts w:hint="eastAsia" w:ascii="黑体" w:hAnsi="黑体" w:eastAsia="黑体" w:cs="黑体"/>
          <w:color w:val="auto"/>
          <w:szCs w:val="21"/>
          <w:lang w:bidi="ar"/>
        </w:rPr>
        <w:t>表</w:t>
      </w:r>
      <w:r>
        <w:rPr>
          <w:rFonts w:hint="eastAsia" w:ascii="黑体" w:hAnsi="黑体" w:eastAsia="黑体" w:cs="黑体"/>
          <w:color w:val="auto"/>
          <w:szCs w:val="21"/>
          <w:lang w:val="en-US" w:eastAsia="zh-CN" w:bidi="ar"/>
        </w:rPr>
        <w:t>6</w:t>
      </w:r>
      <w:r>
        <w:rPr>
          <w:rFonts w:hint="eastAsia" w:ascii="黑体" w:hAnsi="黑体" w:eastAsia="黑体" w:cs="黑体"/>
          <w:color w:val="auto"/>
          <w:szCs w:val="21"/>
          <w:lang w:bidi="ar"/>
        </w:rPr>
        <w:t xml:space="preserve"> </w:t>
      </w:r>
      <w:r>
        <w:rPr>
          <w:rFonts w:hint="eastAsia" w:ascii="黑体" w:hAnsi="黑体" w:eastAsia="黑体" w:cs="黑体"/>
          <w:color w:val="auto"/>
          <w:szCs w:val="21"/>
          <w:lang w:val="en-US" w:eastAsia="zh-CN" w:bidi="ar"/>
        </w:rPr>
        <w:t xml:space="preserve"> 涂料领域用皂石</w:t>
      </w:r>
      <w:r>
        <w:rPr>
          <w:rFonts w:hint="eastAsia" w:ascii="黑体" w:hAnsi="黑体" w:eastAsia="黑体" w:cs="黑体"/>
          <w:color w:val="auto"/>
          <w:szCs w:val="21"/>
          <w:lang w:eastAsia="zh-CN" w:bidi="ar"/>
        </w:rPr>
        <w:t>理化性能验证</w:t>
      </w:r>
      <w:r>
        <w:rPr>
          <w:rFonts w:hint="eastAsia" w:ascii="黑体" w:hAnsi="黑体" w:eastAsia="黑体" w:cs="黑体"/>
          <w:color w:val="auto"/>
          <w:szCs w:val="21"/>
          <w:lang w:bidi="ar"/>
        </w:rPr>
        <w:t>数据</w:t>
      </w:r>
    </w:p>
    <w:tbl>
      <w:tblPr>
        <w:tblStyle w:val="13"/>
        <w:tblW w:w="51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759"/>
        <w:gridCol w:w="687"/>
        <w:gridCol w:w="687"/>
        <w:gridCol w:w="687"/>
        <w:gridCol w:w="687"/>
        <w:gridCol w:w="687"/>
        <w:gridCol w:w="687"/>
        <w:gridCol w:w="687"/>
        <w:gridCol w:w="687"/>
        <w:gridCol w:w="687"/>
        <w:gridCol w:w="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634" w:type="pct"/>
            <w:vMerge w:val="restar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项目</w:t>
            </w:r>
          </w:p>
        </w:tc>
        <w:tc>
          <w:tcPr>
            <w:tcW w:w="4365" w:type="pct"/>
            <w:gridSpan w:val="11"/>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涂料领域</w:t>
            </w:r>
            <w:r>
              <w:rPr>
                <w:rFonts w:hint="eastAsia" w:ascii="宋体" w:hAnsi="宋体" w:eastAsia="宋体" w:cs="宋体"/>
                <w:color w:val="auto"/>
                <w:sz w:val="18"/>
                <w:szCs w:val="18"/>
                <w:highlight w:val="none"/>
                <w:vertAlign w:val="baseline"/>
                <w:lang w:val="en-US" w:eastAsia="zh-CN"/>
              </w:rPr>
              <w:t>用</w:t>
            </w:r>
            <w:r>
              <w:rPr>
                <w:rFonts w:hint="eastAsia" w:ascii="宋体" w:hAnsi="宋体" w:cs="宋体"/>
                <w:color w:val="auto"/>
                <w:sz w:val="18"/>
                <w:szCs w:val="18"/>
                <w:highlight w:val="none"/>
                <w:vertAlign w:val="baseline"/>
                <w:lang w:val="en-US" w:eastAsia="zh-CN"/>
              </w:rPr>
              <w:t>皂石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634" w:type="pct"/>
            <w:vMerge w:val="continue"/>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textAlignment w:val="auto"/>
              <w:rPr>
                <w:rFonts w:hint="eastAsia" w:ascii="宋体" w:hAnsi="宋体" w:eastAsia="宋体" w:cs="宋体"/>
                <w:color w:val="auto"/>
                <w:sz w:val="18"/>
                <w:szCs w:val="18"/>
                <w:highlight w:val="none"/>
                <w:vertAlign w:val="baseline"/>
                <w:lang w:eastAsia="zh-CN"/>
              </w:rPr>
            </w:pPr>
          </w:p>
        </w:tc>
        <w:tc>
          <w:tcPr>
            <w:tcW w:w="43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指标</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要求</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样1</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样2</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样3</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样4</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样5</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样6</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样7</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样8</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样9</w:t>
            </w:r>
          </w:p>
        </w:tc>
        <w:tc>
          <w:tcPr>
            <w:tcW w:w="39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样10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634" w:type="pct"/>
            <w:noWrap w:val="0"/>
            <w:vAlign w:val="center"/>
          </w:tcPr>
          <w:p>
            <w:pPr>
              <w:pStyle w:val="18"/>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color w:val="auto"/>
                <w:kern w:val="0"/>
                <w:sz w:val="18"/>
                <w:szCs w:val="18"/>
                <w:highlight w:val="none"/>
                <w:lang w:val="en-US" w:eastAsia="zh-CN" w:bidi="en-US"/>
              </w:rPr>
            </w:pPr>
            <w:r>
              <w:rPr>
                <w:rFonts w:hint="eastAsia" w:ascii="宋体" w:hAnsi="宋体" w:eastAsia="宋体" w:cs="宋体"/>
                <w:kern w:val="0"/>
                <w:sz w:val="18"/>
                <w:szCs w:val="18"/>
                <w:lang w:val="en-US"/>
              </w:rPr>
              <w:t>SiO</w:t>
            </w:r>
            <w:r>
              <w:rPr>
                <w:rFonts w:hint="eastAsia" w:ascii="宋体" w:hAnsi="宋体" w:eastAsia="宋体" w:cs="宋体"/>
                <w:kern w:val="0"/>
                <w:sz w:val="18"/>
                <w:szCs w:val="18"/>
                <w:vertAlign w:val="subscript"/>
                <w:lang w:val="en-US"/>
              </w:rPr>
              <w:t>2</w:t>
            </w:r>
            <w:r>
              <w:rPr>
                <w:rFonts w:hint="eastAsia" w:ascii="宋体" w:cs="宋体"/>
                <w:sz w:val="18"/>
                <w:szCs w:val="18"/>
                <w:lang w:val="en-US" w:eastAsia="zh-CN"/>
              </w:rPr>
              <w:t>含量</w:t>
            </w:r>
            <w:r>
              <w:rPr>
                <w:rFonts w:hint="eastAsia" w:ascii="宋体" w:hAnsi="宋体" w:eastAsia="宋体" w:cs="宋体"/>
                <w:color w:val="auto"/>
                <w:kern w:val="0"/>
                <w:sz w:val="18"/>
                <w:szCs w:val="18"/>
                <w:highlight w:val="none"/>
                <w:lang w:val="en-US" w:eastAsia="zh-CN" w:bidi="en-US"/>
              </w:rPr>
              <w:t xml:space="preserve">/%            </w:t>
            </w:r>
            <w:r>
              <w:rPr>
                <w:rFonts w:hint="eastAsia" w:hAnsi="宋体" w:eastAsia="宋体" w:cs="宋体"/>
                <w:color w:val="auto"/>
                <w:kern w:val="0"/>
                <w:sz w:val="18"/>
                <w:szCs w:val="18"/>
                <w:highlight w:val="none"/>
                <w:lang w:val="en-US" w:eastAsia="zh-CN" w:bidi="en-US"/>
              </w:rPr>
              <w:t xml:space="preserve">                  </w:t>
            </w:r>
          </w:p>
        </w:tc>
        <w:tc>
          <w:tcPr>
            <w:tcW w:w="43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≤55.00</w:t>
            </w:r>
          </w:p>
        </w:tc>
        <w:tc>
          <w:tcPr>
            <w:tcW w:w="392"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53.16</w:t>
            </w:r>
          </w:p>
        </w:tc>
        <w:tc>
          <w:tcPr>
            <w:tcW w:w="392"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51.98</w:t>
            </w:r>
          </w:p>
        </w:tc>
        <w:tc>
          <w:tcPr>
            <w:tcW w:w="392"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52.33</w:t>
            </w:r>
          </w:p>
        </w:tc>
        <w:tc>
          <w:tcPr>
            <w:tcW w:w="392"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54.39</w:t>
            </w:r>
          </w:p>
        </w:tc>
        <w:tc>
          <w:tcPr>
            <w:tcW w:w="392"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53.67</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54.98</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51.08</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52.64</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54.55</w:t>
            </w:r>
          </w:p>
        </w:tc>
        <w:tc>
          <w:tcPr>
            <w:tcW w:w="39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52.37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634" w:type="pct"/>
            <w:noWrap w:val="0"/>
            <w:vAlign w:val="center"/>
          </w:tcPr>
          <w:p>
            <w:pPr>
              <w:pStyle w:val="18"/>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color w:val="auto"/>
                <w:kern w:val="0"/>
                <w:sz w:val="18"/>
                <w:szCs w:val="18"/>
                <w:highlight w:val="none"/>
                <w:lang w:val="en-US" w:eastAsia="zh-CN" w:bidi="en-US"/>
              </w:rPr>
            </w:pPr>
            <w:r>
              <w:rPr>
                <w:rFonts w:hint="eastAsia" w:cs="宋体"/>
                <w:sz w:val="18"/>
                <w:szCs w:val="18"/>
                <w:lang w:val="en-US" w:eastAsia="zh-CN"/>
              </w:rPr>
              <w:t>Mg</w:t>
            </w:r>
            <w:r>
              <w:rPr>
                <w:rFonts w:hint="eastAsia" w:ascii="宋体" w:hAnsi="Times New Roman" w:eastAsia="宋体" w:cs="宋体"/>
                <w:sz w:val="18"/>
                <w:szCs w:val="18"/>
                <w:lang w:val="en-US"/>
              </w:rPr>
              <w:t>O</w:t>
            </w:r>
            <w:r>
              <w:rPr>
                <w:rFonts w:hint="eastAsia" w:ascii="宋体" w:cs="宋体"/>
                <w:sz w:val="18"/>
                <w:szCs w:val="18"/>
                <w:lang w:val="en-US" w:eastAsia="zh-CN"/>
              </w:rPr>
              <w:t>含量</w:t>
            </w:r>
            <w:r>
              <w:rPr>
                <w:rFonts w:hint="eastAsia" w:ascii="宋体" w:hAnsi="宋体" w:eastAsia="宋体" w:cs="宋体"/>
                <w:color w:val="auto"/>
                <w:kern w:val="0"/>
                <w:sz w:val="18"/>
                <w:szCs w:val="18"/>
                <w:highlight w:val="none"/>
                <w:lang w:val="en-US" w:eastAsia="zh-CN" w:bidi="en-US"/>
              </w:rPr>
              <w:t xml:space="preserve">/%             </w:t>
            </w:r>
          </w:p>
        </w:tc>
        <w:tc>
          <w:tcPr>
            <w:tcW w:w="434"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≤23.00</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22.65</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21.38</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21.93</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23.02</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21.11</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22.50</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23.68</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21.27</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20.69</w:t>
            </w:r>
          </w:p>
        </w:tc>
        <w:tc>
          <w:tcPr>
            <w:tcW w:w="39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634" w:type="pct"/>
            <w:noWrap w:val="0"/>
            <w:vAlign w:val="center"/>
          </w:tcPr>
          <w:p>
            <w:pPr>
              <w:pStyle w:val="18"/>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color w:val="auto"/>
                <w:kern w:val="0"/>
                <w:sz w:val="18"/>
                <w:szCs w:val="18"/>
                <w:highlight w:val="none"/>
                <w:lang w:val="en-US" w:eastAsia="zh-CN" w:bidi="en-US"/>
              </w:rPr>
            </w:pPr>
            <w:r>
              <w:rPr>
                <w:rFonts w:hint="eastAsia" w:cs="宋体"/>
                <w:sz w:val="18"/>
                <w:szCs w:val="18"/>
                <w:lang w:val="en-US" w:eastAsia="zh-CN"/>
              </w:rPr>
              <w:t>Al</w:t>
            </w:r>
            <w:r>
              <w:rPr>
                <w:rFonts w:hint="eastAsia" w:ascii="宋体" w:hAnsi="Times New Roman" w:eastAsia="宋体" w:cs="宋体"/>
                <w:sz w:val="18"/>
                <w:szCs w:val="18"/>
                <w:vertAlign w:val="subscript"/>
                <w:lang w:val="en-US"/>
              </w:rPr>
              <w:t>2</w:t>
            </w:r>
            <w:r>
              <w:rPr>
                <w:rFonts w:hint="eastAsia" w:ascii="宋体" w:hAnsi="Times New Roman" w:eastAsia="宋体" w:cs="宋体"/>
                <w:sz w:val="18"/>
                <w:szCs w:val="18"/>
                <w:lang w:val="en-US"/>
              </w:rPr>
              <w:t>O</w:t>
            </w:r>
            <w:r>
              <w:rPr>
                <w:rFonts w:hint="eastAsia" w:ascii="宋体" w:hAnsi="Times New Roman" w:eastAsia="宋体" w:cs="宋体"/>
                <w:sz w:val="18"/>
                <w:szCs w:val="18"/>
                <w:vertAlign w:val="subscript"/>
                <w:lang w:val="en-US"/>
              </w:rPr>
              <w:t>3</w:t>
            </w:r>
            <w:r>
              <w:rPr>
                <w:rFonts w:hint="eastAsia" w:ascii="宋体" w:cs="宋体"/>
                <w:sz w:val="18"/>
                <w:szCs w:val="18"/>
                <w:lang w:val="en-US" w:eastAsia="zh-CN"/>
              </w:rPr>
              <w:t>含量</w:t>
            </w:r>
            <w:r>
              <w:rPr>
                <w:rFonts w:hint="eastAsia" w:ascii="宋体" w:hAnsi="宋体" w:eastAsia="宋体" w:cs="宋体"/>
                <w:color w:val="auto"/>
                <w:kern w:val="0"/>
                <w:sz w:val="18"/>
                <w:szCs w:val="18"/>
                <w:highlight w:val="none"/>
                <w:lang w:val="en-US" w:eastAsia="zh-CN" w:bidi="en-US"/>
              </w:rPr>
              <w:t xml:space="preserve">/%               </w:t>
            </w:r>
          </w:p>
        </w:tc>
        <w:tc>
          <w:tcPr>
            <w:tcW w:w="434"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≥10.00</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11.34</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10.68</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11.27</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12.61</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13.37</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12.63</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11.81</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12.54</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13.10</w:t>
            </w:r>
          </w:p>
        </w:tc>
        <w:tc>
          <w:tcPr>
            <w:tcW w:w="39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14.34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634" w:type="pct"/>
            <w:noWrap w:val="0"/>
            <w:vAlign w:val="center"/>
          </w:tcPr>
          <w:p>
            <w:pPr>
              <w:pStyle w:val="18"/>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color w:val="auto"/>
                <w:kern w:val="0"/>
                <w:sz w:val="18"/>
                <w:szCs w:val="18"/>
                <w:highlight w:val="none"/>
                <w:lang w:val="en-US" w:eastAsia="zh-CN" w:bidi="en-US"/>
              </w:rPr>
            </w:pPr>
            <w:r>
              <w:rPr>
                <w:rFonts w:hint="eastAsia" w:ascii="宋体" w:hAnsi="Times New Roman" w:eastAsia="宋体" w:cs="宋体"/>
                <w:sz w:val="18"/>
                <w:szCs w:val="18"/>
              </w:rPr>
              <w:t>水分</w:t>
            </w:r>
            <w:r>
              <w:rPr>
                <w:rFonts w:hint="eastAsia" w:hAnsi="宋体" w:eastAsia="宋体" w:cs="宋体"/>
                <w:color w:val="auto"/>
                <w:kern w:val="0"/>
                <w:sz w:val="18"/>
                <w:szCs w:val="18"/>
                <w:highlight w:val="none"/>
                <w:lang w:val="en-US" w:eastAsia="zh-CN" w:bidi="en-US"/>
              </w:rPr>
              <w:t>/%</w:t>
            </w:r>
          </w:p>
        </w:tc>
        <w:tc>
          <w:tcPr>
            <w:tcW w:w="43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≤0.50</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0.39</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0.42</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0.33</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0.56</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0.42</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0.51</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0.47</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0.38</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0.43</w:t>
            </w:r>
          </w:p>
        </w:tc>
        <w:tc>
          <w:tcPr>
            <w:tcW w:w="39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634" w:type="pct"/>
            <w:noWrap w:val="0"/>
            <w:vAlign w:val="center"/>
          </w:tcPr>
          <w:p>
            <w:pPr>
              <w:pStyle w:val="18"/>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color w:val="auto"/>
                <w:kern w:val="0"/>
                <w:sz w:val="18"/>
                <w:szCs w:val="18"/>
                <w:highlight w:val="none"/>
                <w:lang w:val="en-US" w:eastAsia="zh-CN" w:bidi="en-US"/>
              </w:rPr>
            </w:pPr>
            <w:r>
              <w:rPr>
                <w:rFonts w:hint="eastAsia" w:hAnsi="宋体" w:cs="宋体"/>
                <w:color w:val="auto"/>
                <w:kern w:val="0"/>
                <w:sz w:val="18"/>
                <w:szCs w:val="18"/>
                <w:highlight w:val="none"/>
                <w:lang w:val="en-US" w:eastAsia="zh-CN" w:bidi="en-US"/>
              </w:rPr>
              <w:t>白度</w:t>
            </w:r>
            <w:r>
              <w:rPr>
                <w:rFonts w:hint="eastAsia" w:ascii="宋体" w:hAnsi="宋体" w:eastAsia="宋体" w:cs="宋体"/>
                <w:color w:val="auto"/>
                <w:kern w:val="0"/>
                <w:sz w:val="18"/>
                <w:szCs w:val="18"/>
                <w:highlight w:val="none"/>
                <w:lang w:val="en-US" w:eastAsia="zh-CN" w:bidi="en-US"/>
              </w:rPr>
              <w:t xml:space="preserve">/%                    </w:t>
            </w:r>
          </w:p>
        </w:tc>
        <w:tc>
          <w:tcPr>
            <w:tcW w:w="434" w:type="pct"/>
            <w:noWrap w:val="0"/>
            <w:vAlign w:val="center"/>
          </w:tcPr>
          <w:p>
            <w:pPr>
              <w:pStyle w:val="35"/>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≥90.00</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92.60</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89.77</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93.24</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91.68</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90.25</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91.35</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90.09</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90.61</w:t>
            </w:r>
          </w:p>
        </w:tc>
        <w:tc>
          <w:tcPr>
            <w:tcW w:w="392"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92.38</w:t>
            </w:r>
          </w:p>
        </w:tc>
        <w:tc>
          <w:tcPr>
            <w:tcW w:w="394" w:type="pct"/>
            <w:noWrap w:val="0"/>
            <w:vAlign w:val="center"/>
          </w:tcPr>
          <w:p>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18"/>
                <w:szCs w:val="18"/>
                <w:highlight w:val="none"/>
                <w:lang w:val="en-US" w:eastAsia="zh-CN" w:bidi="en-US"/>
              </w:rPr>
            </w:pPr>
            <w:r>
              <w:rPr>
                <w:rFonts w:hint="eastAsia" w:ascii="宋体" w:hAnsi="宋体" w:cs="宋体"/>
                <w:color w:val="auto"/>
                <w:kern w:val="0"/>
                <w:sz w:val="18"/>
                <w:szCs w:val="18"/>
                <w:highlight w:val="none"/>
                <w:lang w:val="en-US" w:eastAsia="zh-CN" w:bidi="en-US"/>
              </w:rPr>
              <w:t>90.07</w:t>
            </w:r>
          </w:p>
        </w:tc>
      </w:tr>
    </w:tbl>
    <w:p>
      <w:pPr>
        <w:keepNext w:val="0"/>
        <w:keepLines w:val="0"/>
        <w:widowControl w:val="0"/>
        <w:suppressLineNumbers w:val="0"/>
        <w:spacing w:before="0" w:beforeAutospacing="0" w:after="0" w:afterAutospacing="0" w:line="360" w:lineRule="auto"/>
        <w:ind w:left="0" w:right="0"/>
        <w:jc w:val="center"/>
        <w:rPr>
          <w:rFonts w:hint="eastAsia" w:ascii="黑体" w:hAnsi="黑体" w:eastAsia="黑体" w:cs="黑体"/>
          <w:kern w:val="2"/>
          <w:sz w:val="21"/>
          <w:szCs w:val="24"/>
          <w:highlight w:val="none"/>
          <w:lang w:val="en-US" w:eastAsia="zh-CN" w:bidi="ar-SA"/>
        </w:rPr>
      </w:pPr>
      <w:r>
        <w:rPr>
          <w:rFonts w:hint="eastAsia" w:ascii="黑体" w:hAnsi="黑体" w:eastAsia="黑体" w:cs="黑体"/>
          <w:kern w:val="2"/>
          <w:sz w:val="21"/>
          <w:szCs w:val="24"/>
          <w:highlight w:val="none"/>
          <w:lang w:val="en-US" w:eastAsia="zh-CN" w:bidi="ar-SA"/>
        </w:rPr>
        <w:drawing>
          <wp:inline distT="0" distB="0" distL="114300" distR="114300">
            <wp:extent cx="4356735" cy="2524125"/>
            <wp:effectExtent l="0" t="0" r="5715" b="95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keepNext w:val="0"/>
        <w:keepLines w:val="0"/>
        <w:widowControl w:val="0"/>
        <w:suppressLineNumbers w:val="0"/>
        <w:spacing w:before="0" w:beforeAutospacing="0" w:after="0" w:afterAutospacing="0" w:line="360" w:lineRule="auto"/>
        <w:ind w:right="0"/>
        <w:jc w:val="center"/>
        <w:rPr>
          <w:rFonts w:hint="eastAsia"/>
          <w:lang w:val="en-US" w:eastAsia="zh-CN"/>
        </w:rPr>
      </w:pPr>
      <w:r>
        <w:rPr>
          <w:rFonts w:hint="eastAsia" w:ascii="黑体" w:hAnsi="黑体" w:eastAsia="黑体" w:cs="黑体"/>
          <w:szCs w:val="21"/>
          <w:lang w:eastAsia="zh-CN"/>
        </w:rPr>
        <w:t>图</w:t>
      </w:r>
      <w:r>
        <w:rPr>
          <w:rFonts w:hint="eastAsia" w:ascii="黑体" w:hAnsi="黑体" w:eastAsia="黑体" w:cs="黑体"/>
          <w:szCs w:val="21"/>
          <w:lang w:val="en-US" w:eastAsia="zh-CN"/>
        </w:rPr>
        <w:t xml:space="preserve">3 </w:t>
      </w:r>
      <w:r>
        <w:rPr>
          <w:rFonts w:hint="eastAsia" w:ascii="黑体" w:hAnsi="黑体" w:eastAsia="黑体" w:cs="黑体"/>
          <w:color w:val="auto"/>
          <w:sz w:val="21"/>
          <w:szCs w:val="21"/>
          <w:lang w:val="en-US" w:eastAsia="zh-CN"/>
        </w:rPr>
        <w:t xml:space="preserve"> </w:t>
      </w:r>
      <w:r>
        <w:rPr>
          <w:rFonts w:hint="eastAsia" w:ascii="黑体" w:hAnsi="黑体" w:eastAsia="黑体" w:cs="黑体"/>
          <w:color w:val="auto"/>
          <w:szCs w:val="21"/>
          <w:lang w:val="en-US" w:eastAsia="zh-CN" w:bidi="ar"/>
        </w:rPr>
        <w:t>涂料领域用皂石</w:t>
      </w:r>
      <w:r>
        <w:rPr>
          <w:rFonts w:hint="eastAsia" w:ascii="黑体" w:hAnsi="黑体" w:eastAsia="黑体" w:cs="黑体"/>
          <w:color w:val="auto"/>
          <w:szCs w:val="21"/>
          <w:lang w:eastAsia="zh-CN" w:bidi="ar"/>
        </w:rPr>
        <w:t>理化性能</w:t>
      </w:r>
      <w:r>
        <w:rPr>
          <w:rFonts w:hint="eastAsia" w:ascii="黑体" w:hAnsi="黑体" w:eastAsia="黑体" w:cs="黑体"/>
          <w:szCs w:val="21"/>
          <w:lang w:eastAsia="zh-CN"/>
        </w:rPr>
        <w:t>合格率数据图</w:t>
      </w:r>
    </w:p>
    <w:p>
      <w:pPr>
        <w:keepNext w:val="0"/>
        <w:keepLines w:val="0"/>
        <w:widowControl w:val="0"/>
        <w:suppressLineNumbers w:val="0"/>
        <w:spacing w:before="0" w:beforeAutospacing="0" w:after="0" w:afterAutospacing="0" w:line="360" w:lineRule="auto"/>
        <w:ind w:left="0" w:right="0" w:firstLine="624" w:firstLineChars="200"/>
        <w:jc w:val="both"/>
        <w:rPr>
          <w:rFonts w:hint="eastAsia"/>
          <w:lang w:val="en-US" w:eastAsia="zh-CN"/>
        </w:rPr>
      </w:pPr>
      <w:r>
        <w:rPr>
          <w:rFonts w:hint="eastAsia" w:ascii="仿宋_GB2312" w:hAnsi="Times New Roman" w:eastAsia="仿宋_GB2312" w:cs="仿宋_GB2312"/>
          <w:spacing w:val="-4"/>
          <w:kern w:val="2"/>
          <w:sz w:val="32"/>
          <w:szCs w:val="22"/>
          <w:lang w:val="en-US" w:eastAsia="zh-CN" w:bidi="ar"/>
        </w:rPr>
        <w:t>从表</w:t>
      </w:r>
      <w:r>
        <w:rPr>
          <w:rFonts w:hint="eastAsia" w:ascii="仿宋_GB2312" w:eastAsia="仿宋_GB2312" w:cs="仿宋_GB2312"/>
          <w:spacing w:val="-4"/>
          <w:kern w:val="2"/>
          <w:sz w:val="32"/>
          <w:szCs w:val="22"/>
          <w:lang w:val="en-US" w:eastAsia="zh-CN" w:bidi="ar"/>
        </w:rPr>
        <w:t>6</w:t>
      </w:r>
      <w:r>
        <w:rPr>
          <w:rFonts w:hint="eastAsia" w:ascii="仿宋_GB2312" w:hAnsi="Times New Roman" w:eastAsia="仿宋_GB2312" w:cs="仿宋_GB2312"/>
          <w:spacing w:val="-4"/>
          <w:kern w:val="2"/>
          <w:sz w:val="32"/>
          <w:szCs w:val="22"/>
          <w:lang w:val="en-US" w:eastAsia="zh-CN" w:bidi="ar"/>
        </w:rPr>
        <w:t>及图</w:t>
      </w:r>
      <w:r>
        <w:rPr>
          <w:rFonts w:hint="eastAsia" w:ascii="仿宋_GB2312" w:eastAsia="仿宋_GB2312" w:cs="仿宋_GB2312"/>
          <w:spacing w:val="-4"/>
          <w:kern w:val="2"/>
          <w:sz w:val="32"/>
          <w:szCs w:val="22"/>
          <w:lang w:val="en-US" w:eastAsia="zh-CN" w:bidi="ar"/>
        </w:rPr>
        <w:t>3</w:t>
      </w:r>
      <w:r>
        <w:rPr>
          <w:rFonts w:hint="eastAsia" w:ascii="仿宋_GB2312" w:hAnsi="Times New Roman" w:eastAsia="仿宋_GB2312" w:cs="仿宋_GB2312"/>
          <w:spacing w:val="-4"/>
          <w:kern w:val="2"/>
          <w:sz w:val="32"/>
          <w:szCs w:val="22"/>
          <w:lang w:val="en-US" w:eastAsia="zh-CN" w:bidi="ar"/>
        </w:rPr>
        <w:t>可以看出，</w:t>
      </w:r>
      <w:r>
        <w:rPr>
          <w:rFonts w:hint="eastAsia" w:ascii="仿宋_GB2312" w:eastAsia="仿宋_GB2312" w:cs="仿宋_GB2312"/>
          <w:spacing w:val="-4"/>
          <w:kern w:val="2"/>
          <w:sz w:val="32"/>
          <w:szCs w:val="22"/>
          <w:lang w:val="en-US" w:eastAsia="zh-CN" w:bidi="ar"/>
        </w:rPr>
        <w:t>涂料领域</w:t>
      </w:r>
      <w:r>
        <w:rPr>
          <w:rFonts w:hint="eastAsia" w:ascii="仿宋_GB2312" w:hAnsi="Times New Roman" w:eastAsia="仿宋_GB2312" w:cs="仿宋_GB2312"/>
          <w:spacing w:val="-4"/>
          <w:kern w:val="2"/>
          <w:sz w:val="32"/>
          <w:szCs w:val="22"/>
          <w:lang w:val="en-US" w:eastAsia="zh-CN" w:bidi="ar"/>
        </w:rPr>
        <w:t>用</w:t>
      </w:r>
      <w:r>
        <w:rPr>
          <w:rFonts w:hint="eastAsia" w:ascii="仿宋_GB2312" w:eastAsia="仿宋_GB2312" w:cs="仿宋_GB2312"/>
          <w:spacing w:val="-4"/>
          <w:kern w:val="2"/>
          <w:sz w:val="32"/>
          <w:szCs w:val="22"/>
          <w:lang w:val="en-US" w:eastAsia="zh-CN" w:bidi="ar"/>
        </w:rPr>
        <w:t>皂</w:t>
      </w:r>
      <w:r>
        <w:rPr>
          <w:rFonts w:hint="eastAsia" w:ascii="仿宋_GB2312" w:hAnsi="Times New Roman" w:eastAsia="仿宋_GB2312" w:cs="仿宋_GB2312"/>
          <w:spacing w:val="-4"/>
          <w:kern w:val="2"/>
          <w:sz w:val="32"/>
          <w:szCs w:val="22"/>
          <w:lang w:val="en-US" w:eastAsia="zh-CN" w:bidi="ar"/>
        </w:rPr>
        <w:t>石</w:t>
      </w:r>
      <w:r>
        <w:rPr>
          <w:rFonts w:hint="eastAsia" w:ascii="仿宋_GB2312" w:eastAsia="仿宋_GB2312" w:cs="仿宋_GB2312"/>
          <w:spacing w:val="-4"/>
          <w:kern w:val="2"/>
          <w:sz w:val="32"/>
          <w:szCs w:val="22"/>
          <w:lang w:val="en-US" w:eastAsia="zh-CN" w:bidi="ar"/>
        </w:rPr>
        <w:t>SiO</w:t>
      </w:r>
      <w:r>
        <w:rPr>
          <w:rFonts w:hint="eastAsia" w:ascii="仿宋_GB2312" w:eastAsia="仿宋_GB2312" w:cs="仿宋_GB2312"/>
          <w:spacing w:val="-4"/>
          <w:kern w:val="2"/>
          <w:sz w:val="32"/>
          <w:szCs w:val="22"/>
          <w:vertAlign w:val="subscript"/>
          <w:lang w:val="en-US" w:eastAsia="zh-CN" w:bidi="ar"/>
        </w:rPr>
        <w:t>2</w:t>
      </w:r>
      <w:r>
        <w:rPr>
          <w:rFonts w:hint="eastAsia" w:ascii="仿宋_GB2312" w:eastAsia="仿宋_GB2312" w:cs="仿宋_GB2312"/>
          <w:spacing w:val="-4"/>
          <w:kern w:val="2"/>
          <w:sz w:val="32"/>
          <w:szCs w:val="22"/>
          <w:lang w:val="en-US" w:eastAsia="zh-CN" w:bidi="ar"/>
        </w:rPr>
        <w:t>指标</w:t>
      </w:r>
      <w:r>
        <w:rPr>
          <w:rFonts w:hint="eastAsia" w:ascii="仿宋_GB2312" w:hAnsi="Times New Roman" w:eastAsia="仿宋_GB2312" w:cs="仿宋_GB2312"/>
          <w:spacing w:val="-4"/>
          <w:kern w:val="2"/>
          <w:sz w:val="32"/>
          <w:szCs w:val="22"/>
          <w:lang w:val="en-US" w:eastAsia="zh-CN" w:bidi="ar"/>
        </w:rPr>
        <w:t>最大值为</w:t>
      </w:r>
      <w:r>
        <w:rPr>
          <w:rFonts w:hint="eastAsia" w:ascii="仿宋_GB2312" w:eastAsia="仿宋_GB2312" w:cs="仿宋_GB2312"/>
          <w:spacing w:val="-4"/>
          <w:kern w:val="2"/>
          <w:sz w:val="32"/>
          <w:szCs w:val="22"/>
          <w:lang w:val="en-US" w:eastAsia="zh-CN" w:bidi="ar"/>
        </w:rPr>
        <w:t>54.98%</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51.08</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10</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数据全部</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，SiO</w:t>
      </w:r>
      <w:r>
        <w:rPr>
          <w:rFonts w:hint="eastAsia" w:ascii="仿宋_GB2312" w:eastAsia="仿宋_GB2312" w:cs="仿宋_GB2312"/>
          <w:spacing w:val="-4"/>
          <w:kern w:val="2"/>
          <w:sz w:val="32"/>
          <w:szCs w:val="22"/>
          <w:vertAlign w:val="subscript"/>
          <w:lang w:val="en-US" w:eastAsia="zh-CN" w:bidi="ar"/>
        </w:rPr>
        <w:t>2</w:t>
      </w:r>
      <w:r>
        <w:rPr>
          <w:rFonts w:hint="eastAsia" w:ascii="仿宋_GB2312" w:eastAsia="仿宋_GB2312" w:cs="仿宋_GB2312"/>
          <w:spacing w:val="-4"/>
          <w:kern w:val="2"/>
          <w:sz w:val="32"/>
          <w:szCs w:val="22"/>
          <w:lang w:val="en-US" w:eastAsia="zh-CN" w:bidi="ar"/>
        </w:rPr>
        <w:t>指标合格率为100%，MgO指标</w:t>
      </w:r>
      <w:r>
        <w:rPr>
          <w:rFonts w:hint="eastAsia" w:ascii="仿宋_GB2312" w:hAnsi="Times New Roman" w:eastAsia="仿宋_GB2312" w:cs="仿宋_GB2312"/>
          <w:spacing w:val="-4"/>
          <w:kern w:val="2"/>
          <w:sz w:val="32"/>
          <w:szCs w:val="22"/>
          <w:lang w:val="en-US" w:eastAsia="zh-CN" w:bidi="ar"/>
        </w:rPr>
        <w:t>最大值为</w:t>
      </w:r>
      <w:r>
        <w:rPr>
          <w:rFonts w:hint="eastAsia" w:ascii="仿宋_GB2312" w:eastAsia="仿宋_GB2312" w:cs="仿宋_GB2312"/>
          <w:spacing w:val="-4"/>
          <w:kern w:val="2"/>
          <w:sz w:val="32"/>
          <w:szCs w:val="22"/>
          <w:lang w:val="en-US" w:eastAsia="zh-CN" w:bidi="ar"/>
        </w:rPr>
        <w:t>23.68%</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20.69</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其中8</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，2组数据不满足指标要求，MgO指标合格率为80%，Al</w:t>
      </w:r>
      <w:r>
        <w:rPr>
          <w:rFonts w:hint="eastAsia" w:ascii="仿宋_GB2312" w:eastAsia="仿宋_GB2312" w:cs="仿宋_GB2312"/>
          <w:spacing w:val="-4"/>
          <w:kern w:val="2"/>
          <w:sz w:val="32"/>
          <w:szCs w:val="22"/>
          <w:vertAlign w:val="subscript"/>
          <w:lang w:val="en-US" w:eastAsia="zh-CN" w:bidi="ar"/>
        </w:rPr>
        <w:t>2</w:t>
      </w:r>
      <w:r>
        <w:rPr>
          <w:rFonts w:hint="eastAsia" w:ascii="仿宋_GB2312" w:eastAsia="仿宋_GB2312" w:cs="仿宋_GB2312"/>
          <w:spacing w:val="-4"/>
          <w:kern w:val="2"/>
          <w:sz w:val="32"/>
          <w:szCs w:val="22"/>
          <w:lang w:val="en-US" w:eastAsia="zh-CN" w:bidi="ar"/>
        </w:rPr>
        <w:t>O</w:t>
      </w:r>
      <w:r>
        <w:rPr>
          <w:rFonts w:hint="eastAsia" w:ascii="仿宋_GB2312" w:eastAsia="仿宋_GB2312" w:cs="仿宋_GB2312"/>
          <w:spacing w:val="-4"/>
          <w:kern w:val="2"/>
          <w:sz w:val="32"/>
          <w:szCs w:val="22"/>
          <w:vertAlign w:val="subscript"/>
          <w:lang w:val="en-US" w:eastAsia="zh-CN" w:bidi="ar"/>
        </w:rPr>
        <w:t>3</w:t>
      </w:r>
      <w:r>
        <w:rPr>
          <w:rFonts w:hint="eastAsia" w:ascii="仿宋_GB2312" w:eastAsia="仿宋_GB2312" w:cs="仿宋_GB2312"/>
          <w:spacing w:val="-4"/>
          <w:kern w:val="2"/>
          <w:sz w:val="32"/>
          <w:szCs w:val="22"/>
          <w:lang w:val="en-US" w:eastAsia="zh-CN" w:bidi="ar"/>
        </w:rPr>
        <w:t>指标</w:t>
      </w:r>
      <w:r>
        <w:rPr>
          <w:rFonts w:hint="eastAsia" w:ascii="仿宋_GB2312" w:hAnsi="Times New Roman" w:eastAsia="仿宋_GB2312" w:cs="仿宋_GB2312"/>
          <w:spacing w:val="-4"/>
          <w:kern w:val="2"/>
          <w:sz w:val="32"/>
          <w:szCs w:val="22"/>
          <w:lang w:val="en-US" w:eastAsia="zh-CN" w:bidi="ar"/>
        </w:rPr>
        <w:t>最大值为</w:t>
      </w:r>
      <w:r>
        <w:rPr>
          <w:rFonts w:hint="eastAsia" w:ascii="仿宋_GB2312" w:eastAsia="仿宋_GB2312" w:cs="仿宋_GB2312"/>
          <w:spacing w:val="-4"/>
          <w:kern w:val="2"/>
          <w:sz w:val="32"/>
          <w:szCs w:val="22"/>
          <w:lang w:val="en-US" w:eastAsia="zh-CN" w:bidi="ar"/>
        </w:rPr>
        <w:t>13.37%</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10.68</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10</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数据全部</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，Al</w:t>
      </w:r>
      <w:r>
        <w:rPr>
          <w:rFonts w:hint="eastAsia" w:ascii="仿宋_GB2312" w:eastAsia="仿宋_GB2312" w:cs="仿宋_GB2312"/>
          <w:spacing w:val="-4"/>
          <w:kern w:val="2"/>
          <w:sz w:val="32"/>
          <w:szCs w:val="22"/>
          <w:vertAlign w:val="subscript"/>
          <w:lang w:val="en-US" w:eastAsia="zh-CN" w:bidi="ar"/>
        </w:rPr>
        <w:t>2</w:t>
      </w:r>
      <w:r>
        <w:rPr>
          <w:rFonts w:hint="eastAsia" w:ascii="仿宋_GB2312" w:eastAsia="仿宋_GB2312" w:cs="仿宋_GB2312"/>
          <w:spacing w:val="-4"/>
          <w:kern w:val="2"/>
          <w:sz w:val="32"/>
          <w:szCs w:val="22"/>
          <w:lang w:val="en-US" w:eastAsia="zh-CN" w:bidi="ar"/>
        </w:rPr>
        <w:t>O</w:t>
      </w:r>
      <w:r>
        <w:rPr>
          <w:rFonts w:hint="eastAsia" w:ascii="仿宋_GB2312" w:eastAsia="仿宋_GB2312" w:cs="仿宋_GB2312"/>
          <w:spacing w:val="-4"/>
          <w:kern w:val="2"/>
          <w:sz w:val="32"/>
          <w:szCs w:val="22"/>
          <w:vertAlign w:val="subscript"/>
          <w:lang w:val="en-US" w:eastAsia="zh-CN" w:bidi="ar"/>
        </w:rPr>
        <w:t>3</w:t>
      </w:r>
      <w:r>
        <w:rPr>
          <w:rFonts w:hint="eastAsia" w:ascii="仿宋_GB2312" w:eastAsia="仿宋_GB2312" w:cs="仿宋_GB2312"/>
          <w:spacing w:val="-4"/>
          <w:kern w:val="2"/>
          <w:sz w:val="32"/>
          <w:szCs w:val="22"/>
          <w:lang w:val="en-US" w:eastAsia="zh-CN" w:bidi="ar"/>
        </w:rPr>
        <w:t>指标合格率为100%，水分指标</w:t>
      </w:r>
      <w:r>
        <w:rPr>
          <w:rFonts w:hint="eastAsia" w:ascii="仿宋_GB2312" w:hAnsi="Times New Roman" w:eastAsia="仿宋_GB2312" w:cs="仿宋_GB2312"/>
          <w:spacing w:val="-4"/>
          <w:kern w:val="2"/>
          <w:sz w:val="32"/>
          <w:szCs w:val="22"/>
          <w:lang w:val="en-US" w:eastAsia="zh-CN" w:bidi="ar"/>
        </w:rPr>
        <w:t>最大值为</w:t>
      </w:r>
      <w:r>
        <w:rPr>
          <w:rFonts w:hint="eastAsia" w:ascii="仿宋_GB2312" w:eastAsia="仿宋_GB2312" w:cs="仿宋_GB2312"/>
          <w:spacing w:val="-4"/>
          <w:kern w:val="2"/>
          <w:sz w:val="32"/>
          <w:szCs w:val="22"/>
          <w:lang w:val="en-US" w:eastAsia="zh-CN" w:bidi="ar"/>
        </w:rPr>
        <w:t>0.56%</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0.33</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其中8</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，2组数据不满足要求，水分指标合格率为80%，白度指标</w:t>
      </w:r>
      <w:r>
        <w:rPr>
          <w:rFonts w:hint="eastAsia" w:ascii="仿宋_GB2312" w:hAnsi="Times New Roman" w:eastAsia="仿宋_GB2312" w:cs="仿宋_GB2312"/>
          <w:spacing w:val="-4"/>
          <w:kern w:val="2"/>
          <w:sz w:val="32"/>
          <w:szCs w:val="22"/>
          <w:lang w:val="en-US" w:eastAsia="zh-CN" w:bidi="ar"/>
        </w:rPr>
        <w:t>最大值为</w:t>
      </w:r>
      <w:r>
        <w:rPr>
          <w:rFonts w:hint="eastAsia" w:ascii="仿宋_GB2312" w:eastAsia="仿宋_GB2312" w:cs="仿宋_GB2312"/>
          <w:spacing w:val="-4"/>
          <w:kern w:val="2"/>
          <w:sz w:val="32"/>
          <w:szCs w:val="22"/>
          <w:lang w:val="en-US" w:eastAsia="zh-CN" w:bidi="ar"/>
        </w:rPr>
        <w:t>93.24%</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89.77</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其中9</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，1组数据不满足指标要求，白度指标合格率为90%。综上，涂料领域</w:t>
      </w:r>
      <w:r>
        <w:rPr>
          <w:rFonts w:hint="eastAsia" w:ascii="仿宋_GB2312" w:hAnsi="Times New Roman" w:eastAsia="仿宋_GB2312" w:cs="仿宋_GB2312"/>
          <w:spacing w:val="-4"/>
          <w:kern w:val="2"/>
          <w:sz w:val="32"/>
          <w:szCs w:val="22"/>
          <w:lang w:val="en-US" w:eastAsia="zh-CN" w:bidi="ar"/>
        </w:rPr>
        <w:t>用</w:t>
      </w:r>
      <w:r>
        <w:rPr>
          <w:rFonts w:hint="eastAsia" w:ascii="仿宋_GB2312" w:eastAsia="仿宋_GB2312" w:cs="仿宋_GB2312"/>
          <w:spacing w:val="-4"/>
          <w:kern w:val="2"/>
          <w:sz w:val="32"/>
          <w:szCs w:val="22"/>
          <w:lang w:val="en-US" w:eastAsia="zh-CN" w:bidi="ar"/>
        </w:rPr>
        <w:t>皂</w:t>
      </w:r>
      <w:r>
        <w:rPr>
          <w:rFonts w:hint="eastAsia" w:ascii="仿宋_GB2312" w:hAnsi="Times New Roman" w:eastAsia="仿宋_GB2312" w:cs="仿宋_GB2312"/>
          <w:spacing w:val="-4"/>
          <w:kern w:val="2"/>
          <w:sz w:val="32"/>
          <w:szCs w:val="22"/>
          <w:lang w:val="en-US" w:eastAsia="zh-CN" w:bidi="ar"/>
        </w:rPr>
        <w:t>石验证合格率为</w:t>
      </w:r>
      <w:r>
        <w:rPr>
          <w:rFonts w:hint="eastAsia" w:ascii="仿宋_GB2312" w:eastAsia="仿宋_GB2312" w:cs="仿宋_GB2312"/>
          <w:spacing w:val="-4"/>
          <w:kern w:val="2"/>
          <w:sz w:val="32"/>
          <w:szCs w:val="22"/>
          <w:lang w:val="en-US" w:eastAsia="zh-CN" w:bidi="ar"/>
        </w:rPr>
        <w:t>90</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eastAsia" w:ascii="仿宋_GB2312" w:hAnsi="仿宋_GB2312" w:eastAsia="仿宋_GB2312" w:cs="仿宋_GB2312"/>
          <w:color w:val="auto"/>
          <w:sz w:val="32"/>
          <w:szCs w:val="32"/>
          <w:lang w:eastAsia="zh-CN"/>
        </w:rPr>
      </w:pPr>
      <w:r>
        <w:rPr>
          <w:rFonts w:hint="eastAsia" w:ascii="楷体_GB2312" w:hAnsi="楷体_GB2312" w:eastAsia="楷体_GB2312" w:cs="楷体_GB2312"/>
          <w:kern w:val="2"/>
          <w:sz w:val="32"/>
          <w:szCs w:val="32"/>
          <w:lang w:val="en-US" w:eastAsia="zh-CN" w:bidi="ar"/>
        </w:rPr>
        <w:t>（二） 验证情况分析</w:t>
      </w:r>
    </w:p>
    <w:p>
      <w:pPr>
        <w:keepNext w:val="0"/>
        <w:keepLines w:val="0"/>
        <w:pageBreakBefore w:val="0"/>
        <w:widowControl w:val="0"/>
        <w:tabs>
          <w:tab w:val="left" w:pos="823"/>
        </w:tabs>
        <w:kinsoku/>
        <w:wordWrap/>
        <w:overflowPunct/>
        <w:topLinePunct w:val="0"/>
        <w:autoSpaceDE/>
        <w:autoSpaceDN/>
        <w:bidi w:val="0"/>
        <w:adjustRightInd/>
        <w:snapToGrid/>
        <w:ind w:firstLine="624" w:firstLineChars="200"/>
        <w:jc w:val="left"/>
        <w:textAlignment w:val="auto"/>
        <w:rPr>
          <w:rFonts w:hint="eastAsia" w:ascii="仿宋_GB2312" w:hAnsi="Times New Roman" w:eastAsia="仿宋_GB2312" w:cs="仿宋_GB2312"/>
          <w:spacing w:val="-4"/>
          <w:kern w:val="2"/>
          <w:sz w:val="32"/>
          <w:szCs w:val="22"/>
          <w:lang w:val="en-US" w:eastAsia="zh-CN" w:bidi="ar"/>
        </w:rPr>
      </w:pPr>
      <w:r>
        <w:rPr>
          <w:rFonts w:hint="eastAsia" w:ascii="仿宋_GB2312" w:hAnsi="Times New Roman" w:eastAsia="仿宋_GB2312" w:cs="仿宋_GB2312"/>
          <w:spacing w:val="-4"/>
          <w:kern w:val="2"/>
          <w:sz w:val="32"/>
          <w:szCs w:val="22"/>
          <w:lang w:val="en-US" w:eastAsia="zh-CN" w:bidi="ar"/>
        </w:rPr>
        <w:t>从验证结果可以看到，</w:t>
      </w:r>
      <w:r>
        <w:rPr>
          <w:rFonts w:hint="eastAsia" w:ascii="仿宋_GB2312" w:hAnsi="Times New Roman" w:eastAsia="仿宋_GB2312" w:cs="仿宋_GB2312"/>
          <w:spacing w:val="-4"/>
          <w:kern w:val="2"/>
          <w:sz w:val="32"/>
          <w:szCs w:val="22"/>
          <w:highlight w:val="none"/>
          <w:lang w:val="en-US" w:eastAsia="zh-CN" w:bidi="ar"/>
        </w:rPr>
        <w:t>检测项目合格率在</w:t>
      </w:r>
      <w:r>
        <w:rPr>
          <w:rFonts w:hint="eastAsia" w:ascii="仿宋_GB2312" w:eastAsia="仿宋_GB2312" w:cs="仿宋_GB2312"/>
          <w:spacing w:val="-4"/>
          <w:kern w:val="2"/>
          <w:sz w:val="32"/>
          <w:szCs w:val="22"/>
          <w:highlight w:val="none"/>
          <w:lang w:val="en-US" w:eastAsia="zh-CN" w:bidi="ar"/>
        </w:rPr>
        <w:t>87.33%</w:t>
      </w:r>
      <w:r>
        <w:rPr>
          <w:rFonts w:hint="eastAsia" w:ascii="仿宋_GB2312" w:hAnsi="Times New Roman" w:eastAsia="仿宋_GB2312" w:cs="仿宋_GB2312"/>
          <w:spacing w:val="-4"/>
          <w:kern w:val="2"/>
          <w:sz w:val="32"/>
          <w:szCs w:val="22"/>
          <w:highlight w:val="none"/>
          <w:lang w:val="en-US" w:eastAsia="zh-CN" w:bidi="ar"/>
        </w:rPr>
        <w:t>，</w:t>
      </w:r>
      <w:r>
        <w:rPr>
          <w:rFonts w:hint="eastAsia" w:ascii="仿宋_GB2312" w:hAnsi="Times New Roman" w:eastAsia="仿宋_GB2312" w:cs="仿宋_GB2312"/>
          <w:spacing w:val="-4"/>
          <w:kern w:val="2"/>
          <w:sz w:val="32"/>
          <w:szCs w:val="22"/>
          <w:lang w:val="en-US" w:eastAsia="zh-CN" w:bidi="ar"/>
        </w:rPr>
        <w:t>从验证的情况来看，在试验过程中</w:t>
      </w:r>
      <w:r>
        <w:rPr>
          <w:rFonts w:hint="eastAsia" w:ascii="仿宋_GB2312" w:eastAsia="仿宋_GB2312" w:cs="仿宋_GB2312"/>
          <w:spacing w:val="-4"/>
          <w:kern w:val="2"/>
          <w:sz w:val="32"/>
          <w:szCs w:val="22"/>
          <w:lang w:val="en-US" w:eastAsia="zh-CN" w:bidi="ar"/>
        </w:rPr>
        <w:t>检测</w:t>
      </w:r>
      <w:r>
        <w:rPr>
          <w:rFonts w:hint="eastAsia" w:ascii="仿宋_GB2312" w:hAnsi="Times New Roman" w:eastAsia="仿宋_GB2312" w:cs="仿宋_GB2312"/>
          <w:spacing w:val="-4"/>
          <w:kern w:val="2"/>
          <w:sz w:val="32"/>
          <w:szCs w:val="22"/>
          <w:lang w:val="en-US" w:eastAsia="zh-CN" w:bidi="ar"/>
        </w:rPr>
        <w:t>方法执行得当</w:t>
      </w:r>
      <w:r>
        <w:rPr>
          <w:rFonts w:hint="eastAsia" w:ascii="仿宋_GB2312" w:eastAsia="仿宋_GB2312" w:cs="仿宋_GB2312"/>
          <w:spacing w:val="-4"/>
          <w:kern w:val="2"/>
          <w:sz w:val="32"/>
          <w:szCs w:val="22"/>
          <w:lang w:val="en-US" w:eastAsia="zh-CN" w:bidi="ar"/>
        </w:rPr>
        <w:t>、</w:t>
      </w:r>
      <w:r>
        <w:rPr>
          <w:rFonts w:hint="eastAsia" w:ascii="仿宋_GB2312" w:hAnsi="Times New Roman" w:eastAsia="仿宋_GB2312" w:cs="仿宋_GB2312"/>
          <w:spacing w:val="-4"/>
          <w:kern w:val="2"/>
          <w:sz w:val="32"/>
          <w:szCs w:val="22"/>
          <w:lang w:val="en-US" w:eastAsia="zh-CN" w:bidi="ar"/>
        </w:rPr>
        <w:t>顺利，</w:t>
      </w:r>
      <w:r>
        <w:rPr>
          <w:rFonts w:hint="eastAsia" w:ascii="仿宋_GB2312" w:eastAsia="仿宋_GB2312" w:cs="仿宋_GB2312"/>
          <w:spacing w:val="-4"/>
          <w:kern w:val="2"/>
          <w:sz w:val="32"/>
          <w:szCs w:val="22"/>
          <w:lang w:val="en-US" w:eastAsia="zh-CN" w:bidi="ar"/>
        </w:rPr>
        <w:t>皂石</w:t>
      </w:r>
      <w:r>
        <w:rPr>
          <w:rFonts w:hint="eastAsia" w:ascii="仿宋_GB2312" w:hAnsi="Times New Roman" w:eastAsia="仿宋_GB2312" w:cs="仿宋_GB2312"/>
          <w:spacing w:val="-4"/>
          <w:kern w:val="2"/>
          <w:sz w:val="32"/>
          <w:szCs w:val="22"/>
          <w:lang w:val="en-US" w:eastAsia="zh-CN" w:bidi="ar"/>
        </w:rPr>
        <w:t>的指标是科学的、测定方法是合理可行的。</w:t>
      </w:r>
    </w:p>
    <w:p>
      <w:pPr>
        <w:spacing w:line="360" w:lineRule="auto"/>
        <w:jc w:val="left"/>
        <w:rPr>
          <w:rFonts w:hint="eastAsia" w:ascii="黑体" w:hAnsi="宋体" w:eastAsia="黑体"/>
          <w:sz w:val="32"/>
          <w:szCs w:val="32"/>
        </w:rPr>
      </w:pPr>
      <w:r>
        <w:rPr>
          <w:rFonts w:hint="eastAsia" w:ascii="黑体" w:hAnsi="宋体" w:eastAsia="黑体"/>
          <w:sz w:val="32"/>
          <w:szCs w:val="32"/>
        </w:rPr>
        <w:t>四、标准中涉及专利情况</w:t>
      </w:r>
    </w:p>
    <w:p>
      <w:pPr>
        <w:spacing w:line="36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本标准经起草小组认真调研和核查，未发现涉及到相关企业、单位和个人的专利。</w:t>
      </w:r>
    </w:p>
    <w:p>
      <w:pPr>
        <w:spacing w:line="360" w:lineRule="auto"/>
        <w:jc w:val="left"/>
        <w:rPr>
          <w:rFonts w:hint="eastAsia" w:ascii="黑体" w:hAnsi="宋体" w:eastAsia="黑体"/>
          <w:sz w:val="32"/>
          <w:szCs w:val="32"/>
        </w:rPr>
      </w:pPr>
      <w:r>
        <w:rPr>
          <w:rFonts w:hint="eastAsia" w:ascii="黑体" w:hAnsi="宋体" w:eastAsia="黑体"/>
          <w:sz w:val="32"/>
          <w:szCs w:val="32"/>
          <w:lang w:eastAsia="zh-CN"/>
        </w:rPr>
        <w:t>五、</w:t>
      </w:r>
      <w:r>
        <w:rPr>
          <w:rFonts w:hint="eastAsia" w:ascii="黑体" w:hAnsi="宋体" w:eastAsia="黑体"/>
          <w:sz w:val="32"/>
          <w:szCs w:val="32"/>
        </w:rPr>
        <w:t>产业化情况、推广应用论证和预期达到的经济效果等情况</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国皂石资源稀缺，皂石矿查明资源储量约60万t，主要分布在新疆、辽宁两省区，其他省区地质工作程度很低，多为矿点或矿化点，目前除美国开采和开发该矿种之外，我国是第二个拥有这一矿产资源的国家，新疆托克逊皂石矿床发现于1983年，位于萨阿尔明背斜的榆树沟单斜构造带内岩浆期后的热液活动形成了该皂石矿床。矿体沿接触带呈马蹄形，由三个小矿体组成，品位20%，皂石储量26万t，年产仅50t，目前已停产。我国皂石主要生产企业有营口大海滑石矿业有限公司、广州咏玖精细化工有限公司、海城金新矿业有限公司、上海万照精细化工有限公司等，其中营口大海滑石矿业有限公司皂石年产量约12万t左右。</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皂石矿物特殊的晶体结构和化学组成赋予矿石独有的工业性能有：（1）高膨胀性；（2）高触变性；（3）高增稠性；（4）高的矿物稳定性；（5）良好的胶体性。经加工提纯的皂石产品一般为极松散的、细腻的、呈油脂光泽的片状或粉末状或膏状物质，颜色视加工工艺水平和矿产地的不同各有差别。美国皂石产品白度极高，几乎占领了整个国际市场。中国新疆的皂石产品带有灰色调。皂石可用作增稠剂、悬浮剂、乳胶稳定剂、吸附剂、润滑剂、填充剂等，广泛用于石油、纺织、橡胶、塑料、造纸、制药、肥皂、化妆品、精细化工等部门，在钻探中也用作泥浆的原料等。</w:t>
      </w:r>
    </w:p>
    <w:p>
      <w:pPr>
        <w:spacing w:line="36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通过此次标准的制定，对于规范皂石行业发展具有重要作用，对皂石产品的质量提升具有很好的推广前景。本次标准的制定在查阅了大量相关标准技术资料的基础上，针对国内生产厂家和用户进行了多方调研，对试验方法进行试验验证，体现了标准的科学性、先进性和可操作性，并能满足生产要求和用户使用要求。本次标准的制定，必将提升整个行业的经济效益。</w:t>
      </w:r>
    </w:p>
    <w:p>
      <w:pPr>
        <w:spacing w:line="360" w:lineRule="auto"/>
        <w:jc w:val="left"/>
        <w:rPr>
          <w:rFonts w:hint="eastAsia" w:ascii="黑体" w:hAnsi="宋体" w:eastAsia="黑体"/>
          <w:sz w:val="32"/>
          <w:szCs w:val="32"/>
        </w:rPr>
      </w:pPr>
      <w:r>
        <w:rPr>
          <w:rFonts w:hint="eastAsia" w:ascii="黑体" w:hAnsi="宋体" w:eastAsia="黑体"/>
          <w:sz w:val="32"/>
          <w:szCs w:val="32"/>
        </w:rPr>
        <w:t>六、采用国际标准和国外先进标准情况</w:t>
      </w:r>
    </w:p>
    <w:p>
      <w:pPr>
        <w:spacing w:line="360" w:lineRule="auto"/>
        <w:ind w:firstLine="640" w:firstLineChars="200"/>
        <w:jc w:val="left"/>
        <w:rPr>
          <w:rFonts w:hint="eastAsia" w:ascii="宋体" w:hAnsi="宋体" w:cs="宋体"/>
          <w:sz w:val="24"/>
        </w:rPr>
      </w:pPr>
      <w:r>
        <w:rPr>
          <w:rFonts w:hint="eastAsia" w:ascii="仿宋_GB2312" w:hAnsi="仿宋_GB2312" w:eastAsia="仿宋_GB2312" w:cs="仿宋_GB2312"/>
          <w:sz w:val="32"/>
          <w:szCs w:val="32"/>
          <w:lang w:eastAsia="zh-CN"/>
        </w:rPr>
        <w:t>经过广泛查阅，尚未找到有关的国际标准和国外先进标准。</w:t>
      </w:r>
    </w:p>
    <w:p>
      <w:pPr>
        <w:spacing w:line="360" w:lineRule="auto"/>
        <w:jc w:val="left"/>
        <w:rPr>
          <w:rFonts w:hint="eastAsia" w:ascii="黑体" w:hAnsi="宋体" w:eastAsia="黑体"/>
          <w:sz w:val="32"/>
          <w:szCs w:val="32"/>
        </w:rPr>
      </w:pPr>
      <w:r>
        <w:rPr>
          <w:rFonts w:hint="eastAsia" w:ascii="黑体" w:hAnsi="宋体" w:eastAsia="黑体"/>
          <w:sz w:val="32"/>
          <w:szCs w:val="32"/>
        </w:rPr>
        <w:t>七、与现行相关法律、法规、规章及相关标准</w:t>
      </w:r>
    </w:p>
    <w:p>
      <w:pPr>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本文件是按照GB/T 1.1-2020给出的规则新制定的，与现行相关法律、法规、规章及相关标准，特别是强制性标准无任何冲突。</w:t>
      </w:r>
    </w:p>
    <w:p>
      <w:pPr>
        <w:spacing w:line="360" w:lineRule="auto"/>
        <w:jc w:val="left"/>
        <w:rPr>
          <w:rFonts w:ascii="黑体" w:hAnsi="宋体" w:eastAsia="黑体"/>
          <w:sz w:val="32"/>
          <w:szCs w:val="32"/>
        </w:rPr>
      </w:pPr>
      <w:r>
        <w:rPr>
          <w:rFonts w:hint="eastAsia" w:ascii="黑体" w:hAnsi="宋体" w:eastAsia="黑体"/>
          <w:sz w:val="32"/>
          <w:szCs w:val="32"/>
        </w:rPr>
        <w:t>八、重大分歧意见的处理经过和依据</w:t>
      </w:r>
    </w:p>
    <w:p>
      <w:pPr>
        <w:spacing w:line="360" w:lineRule="auto"/>
        <w:ind w:firstLine="640" w:firstLineChars="200"/>
        <w:jc w:val="left"/>
        <w:rPr>
          <w:rFonts w:ascii="宋体" w:hAnsi="宋体"/>
          <w:sz w:val="24"/>
        </w:rPr>
      </w:pPr>
      <w:r>
        <w:rPr>
          <w:rFonts w:hint="eastAsia" w:ascii="仿宋_GB2312" w:hAnsi="仿宋_GB2312" w:eastAsia="仿宋_GB2312" w:cs="仿宋_GB2312"/>
          <w:sz w:val="32"/>
          <w:szCs w:val="32"/>
          <w:lang w:eastAsia="zh-CN"/>
        </w:rPr>
        <w:t>本文件在修订的过程中，没有出现重大分歧意见。</w:t>
      </w:r>
    </w:p>
    <w:p>
      <w:pPr>
        <w:spacing w:line="360" w:lineRule="auto"/>
        <w:jc w:val="left"/>
        <w:rPr>
          <w:rFonts w:hint="eastAsia" w:ascii="黑体" w:hAnsi="宋体" w:eastAsia="黑体"/>
          <w:sz w:val="32"/>
          <w:szCs w:val="32"/>
        </w:rPr>
      </w:pPr>
      <w:r>
        <w:rPr>
          <w:rFonts w:hint="eastAsia" w:ascii="黑体" w:hAnsi="宋体" w:eastAsia="黑体"/>
          <w:sz w:val="32"/>
          <w:szCs w:val="32"/>
        </w:rPr>
        <w:t>九、标准性质的建议说明</w:t>
      </w:r>
    </w:p>
    <w:p>
      <w:pPr>
        <w:spacing w:line="360" w:lineRule="auto"/>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本文件建议为建材行业推荐性标准。</w:t>
      </w:r>
    </w:p>
    <w:p>
      <w:pPr>
        <w:spacing w:line="360" w:lineRule="auto"/>
        <w:jc w:val="left"/>
        <w:rPr>
          <w:rFonts w:hint="eastAsia" w:ascii="黑体" w:hAnsi="宋体" w:eastAsia="黑体"/>
          <w:sz w:val="32"/>
          <w:szCs w:val="32"/>
        </w:rPr>
      </w:pPr>
      <w:r>
        <w:rPr>
          <w:rFonts w:hint="eastAsia" w:ascii="黑体" w:hAnsi="宋体" w:eastAsia="黑体"/>
          <w:sz w:val="32"/>
          <w:szCs w:val="32"/>
        </w:rPr>
        <w:t>十、贯彻标准的要求和措施建议</w:t>
      </w:r>
    </w:p>
    <w:p>
      <w:pPr>
        <w:spacing w:line="360" w:lineRule="auto"/>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为了推广贯彻本标准，我们建议：</w:t>
      </w:r>
    </w:p>
    <w:p>
      <w:pPr>
        <w:spacing w:line="360" w:lineRule="auto"/>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组织措施：标准颁布后，由全国非金属产品及制品标准化技术委员会举办《皂石》标准宣贯会。</w:t>
      </w:r>
    </w:p>
    <w:p>
      <w:pPr>
        <w:spacing w:line="360" w:lineRule="auto"/>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技术措施：标准颁布后，由各质检机构依据本标准进行对皂石进行检验。</w:t>
      </w:r>
    </w:p>
    <w:p>
      <w:pPr>
        <w:spacing w:line="360" w:lineRule="auto"/>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实施日期：本标准批准后，建议在六个月后实施。</w:t>
      </w:r>
    </w:p>
    <w:p>
      <w:pPr>
        <w:spacing w:line="360" w:lineRule="auto"/>
        <w:jc w:val="left"/>
        <w:rPr>
          <w:rFonts w:hint="eastAsia" w:ascii="黑体" w:hAnsi="宋体" w:eastAsia="黑体"/>
          <w:sz w:val="32"/>
          <w:szCs w:val="32"/>
        </w:rPr>
      </w:pPr>
      <w:r>
        <w:rPr>
          <w:rFonts w:hint="eastAsia" w:ascii="黑体" w:hAnsi="宋体" w:eastAsia="黑体"/>
          <w:sz w:val="32"/>
          <w:szCs w:val="32"/>
        </w:rPr>
        <w:t>十一、废止现行相关标准的建议</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本文件为修订标准，本标准发布实施后，建议将JC/T </w:t>
      </w:r>
      <w:r>
        <w:rPr>
          <w:rFonts w:hint="eastAsia" w:ascii="仿宋_GB2312" w:hAnsi="仿宋_GB2312" w:eastAsia="仿宋_GB2312" w:cs="仿宋_GB2312"/>
          <w:bCs/>
          <w:sz w:val="32"/>
          <w:szCs w:val="32"/>
          <w:lang w:val="en-US" w:eastAsia="zh-CN"/>
        </w:rPr>
        <w:t>928</w:t>
      </w:r>
      <w:r>
        <w:rPr>
          <w:rFonts w:hint="eastAsia" w:ascii="仿宋_GB2312" w:hAnsi="仿宋_GB2312" w:eastAsia="仿宋_GB2312" w:cs="仿宋_GB2312"/>
          <w:bCs/>
          <w:sz w:val="32"/>
          <w:szCs w:val="32"/>
        </w:rPr>
        <w:t>—200</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eastAsia="zh-CN"/>
        </w:rPr>
        <w:t>皂石</w:t>
      </w:r>
      <w:r>
        <w:rPr>
          <w:rFonts w:hint="eastAsia" w:ascii="仿宋_GB2312" w:hAnsi="仿宋_GB2312" w:eastAsia="仿宋_GB2312" w:cs="仿宋_GB2312"/>
          <w:bCs/>
          <w:sz w:val="32"/>
          <w:szCs w:val="32"/>
        </w:rPr>
        <w:t>》行业标准废止。</w:t>
      </w:r>
    </w:p>
    <w:p>
      <w:pPr>
        <w:spacing w:line="360" w:lineRule="auto"/>
        <w:jc w:val="left"/>
        <w:rPr>
          <w:rFonts w:hint="eastAsia" w:ascii="黑体" w:hAnsi="宋体" w:eastAsia="黑体"/>
          <w:sz w:val="32"/>
          <w:szCs w:val="32"/>
        </w:rPr>
      </w:pPr>
      <w:r>
        <w:rPr>
          <w:rFonts w:hint="eastAsia" w:ascii="黑体" w:hAnsi="宋体" w:eastAsia="黑体"/>
          <w:sz w:val="32"/>
          <w:szCs w:val="32"/>
        </w:rPr>
        <w:t>十二、其它应予说明的事项</w:t>
      </w:r>
    </w:p>
    <w:p>
      <w:pPr>
        <w:spacing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无其它应予说明的问题。</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Arial Narrow">
    <w:panose1 w:val="020B0606020202030204"/>
    <w:charset w:val="00"/>
    <w:family w:val="swiss"/>
    <w:pitch w:val="default"/>
    <w:sig w:usb0="00000287" w:usb1="00000800" w:usb2="00000000" w:usb3="00000000" w:csb0="2000009F" w:csb1="DFD70000"/>
  </w:font>
  <w:font w:name="小标宋">
    <w:panose1 w:val="03000509000000000000"/>
    <w:charset w:val="86"/>
    <w:family w:val="auto"/>
    <w:pitch w:val="default"/>
    <w:sig w:usb0="00000001" w:usb1="080E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  \* MERGEFORMAT </w:instrText>
                          </w:r>
                          <w:r>
                            <w:rPr>
                              <w:rFonts w:hint="eastAsia" w:ascii="仿宋_GB2312" w:hAnsi="仿宋_GB2312" w:eastAsia="仿宋_GB2312" w:cs="仿宋_GB2312"/>
                            </w:rPr>
                            <w:fldChar w:fldCharType="separate"/>
                          </w:r>
                          <w:r>
                            <w:rPr>
                              <w:rFonts w:ascii="仿宋_GB2312" w:hAnsi="仿宋_GB2312" w:eastAsia="仿宋_GB2312" w:cs="仿宋_GB2312"/>
                            </w:rPr>
                            <w:t>1</w:t>
                          </w:r>
                          <w:r>
                            <w:rPr>
                              <w:rFonts w:hint="eastAsia" w:ascii="仿宋_GB2312" w:hAnsi="仿宋_GB2312" w:eastAsia="仿宋_GB2312" w:cs="仿宋_GB2312"/>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pPr>
                      <w:pStyle w:val="8"/>
                      <w:rPr>
                        <w:rFonts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  \* MERGEFORMAT </w:instrText>
                    </w:r>
                    <w:r>
                      <w:rPr>
                        <w:rFonts w:hint="eastAsia" w:ascii="仿宋_GB2312" w:hAnsi="仿宋_GB2312" w:eastAsia="仿宋_GB2312" w:cs="仿宋_GB2312"/>
                      </w:rPr>
                      <w:fldChar w:fldCharType="separate"/>
                    </w:r>
                    <w:r>
                      <w:rPr>
                        <w:rFonts w:ascii="仿宋_GB2312" w:hAnsi="仿宋_GB2312" w:eastAsia="仿宋_GB2312" w:cs="仿宋_GB2312"/>
                      </w:rPr>
                      <w:t>1</w:t>
                    </w:r>
                    <w:r>
                      <w:rPr>
                        <w:rFonts w:hint="eastAsia" w:ascii="仿宋_GB2312" w:hAnsi="仿宋_GB2312" w:eastAsia="仿宋_GB2312" w:cs="仿宋_GB2312"/>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1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0"/>
      <w:suff w:val="nothing"/>
      <w:lvlText w:val="%1.%2.%3　"/>
      <w:lvlJc w:val="left"/>
      <w:pPr>
        <w:ind w:left="0" w:firstLine="0"/>
      </w:pPr>
      <w:rPr>
        <w:rFonts w:hint="eastAsia" w:ascii="黑体" w:hAnsi="Times New Roman" w:eastAsia="黑体"/>
        <w:b w:val="0"/>
        <w:i w:val="0"/>
        <w:sz w:val="21"/>
      </w:rPr>
    </w:lvl>
    <w:lvl w:ilvl="3" w:tentative="0">
      <w:start w:val="1"/>
      <w:numFmt w:val="decimal"/>
      <w:pStyle w:val="22"/>
      <w:suff w:val="nothing"/>
      <w:lvlText w:val="%1.%2.%3.%4　"/>
      <w:lvlJc w:val="left"/>
      <w:pPr>
        <w:ind w:left="0" w:firstLine="0"/>
      </w:pPr>
      <w:rPr>
        <w:rFonts w:hint="eastAsia" w:ascii="黑体" w:hAnsi="Times New Roman" w:eastAsia="黑体"/>
        <w:b w:val="0"/>
        <w:i w:val="0"/>
        <w:sz w:val="21"/>
      </w:rPr>
    </w:lvl>
    <w:lvl w:ilvl="4" w:tentative="0">
      <w:start w:val="1"/>
      <w:numFmt w:val="decimal"/>
      <w:pStyle w:val="21"/>
      <w:suff w:val="nothing"/>
      <w:lvlText w:val="%1.%2.%3.%4.%5　"/>
      <w:lvlJc w:val="left"/>
      <w:pPr>
        <w:ind w:left="0" w:firstLine="0"/>
      </w:pPr>
      <w:rPr>
        <w:rFonts w:hint="eastAsia" w:ascii="黑体" w:hAnsi="Times New Roman" w:eastAsia="黑体"/>
        <w:b w:val="0"/>
        <w:i w:val="0"/>
        <w:sz w:val="21"/>
      </w:rPr>
    </w:lvl>
    <w:lvl w:ilvl="5" w:tentative="0">
      <w:start w:val="1"/>
      <w:numFmt w:val="decimal"/>
      <w:pStyle w:val="2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C5917C3"/>
    <w:multiLevelType w:val="multilevel"/>
    <w:tmpl w:val="2C5917C3"/>
    <w:lvl w:ilvl="0" w:tentative="0">
      <w:start w:val="1"/>
      <w:numFmt w:val="none"/>
      <w:pStyle w:val="32"/>
      <w:suff w:val="nothing"/>
      <w:lvlText w:val="%1——"/>
      <w:lvlJc w:val="left"/>
      <w:pPr>
        <w:ind w:left="833" w:hanging="408"/>
      </w:pPr>
      <w:rPr>
        <w:rFonts w:hint="eastAsia"/>
      </w:rPr>
    </w:lvl>
    <w:lvl w:ilvl="1" w:tentative="0">
      <w:start w:val="1"/>
      <w:numFmt w:val="bullet"/>
      <w:pStyle w:val="33"/>
      <w:lvlText w:val=""/>
      <w:lvlJc w:val="left"/>
      <w:pPr>
        <w:tabs>
          <w:tab w:val="left" w:pos="760"/>
        </w:tabs>
        <w:ind w:left="1264" w:hanging="413"/>
      </w:pPr>
      <w:rPr>
        <w:rFonts w:hint="default" w:ascii="Symbol" w:hAnsi="Symbol"/>
        <w:color w:val="auto"/>
      </w:rPr>
    </w:lvl>
    <w:lvl w:ilvl="2" w:tentative="0">
      <w:start w:val="1"/>
      <w:numFmt w:val="bullet"/>
      <w:pStyle w:val="2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49AD6353"/>
    <w:multiLevelType w:val="singleLevel"/>
    <w:tmpl w:val="49AD6353"/>
    <w:lvl w:ilvl="0" w:tentative="0">
      <w:start w:val="2"/>
      <w:numFmt w:val="chineseCounting"/>
      <w:suff w:val="nothing"/>
      <w:lvlText w:val="（%1）"/>
      <w:lvlJc w:val="left"/>
      <w:rPr>
        <w:rFonts w:hint="eastAsia"/>
      </w:rPr>
    </w:lvl>
  </w:abstractNum>
  <w:abstractNum w:abstractNumId="3">
    <w:nsid w:val="73DD3DA1"/>
    <w:multiLevelType w:val="multilevel"/>
    <w:tmpl w:val="73DD3DA1"/>
    <w:lvl w:ilvl="0" w:tentative="0">
      <w:start w:val="1"/>
      <w:numFmt w:val="decimal"/>
      <w:pStyle w:val="31"/>
      <w:lvlText w:val="%1."/>
      <w:lvlJc w:val="left"/>
      <w:pPr>
        <w:tabs>
          <w:tab w:val="left" w:pos="360"/>
        </w:tabs>
        <w:ind w:left="360" w:hanging="360"/>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2MDdkYjI1N2E0MDM2ZjI3ODQyNjViOTVlNjE3NGEifQ=="/>
  </w:docVars>
  <w:rsids>
    <w:rsidRoot w:val="00E84008"/>
    <w:rsid w:val="00001D4B"/>
    <w:rsid w:val="00003E07"/>
    <w:rsid w:val="000056AA"/>
    <w:rsid w:val="0001531D"/>
    <w:rsid w:val="0002796A"/>
    <w:rsid w:val="0004085C"/>
    <w:rsid w:val="00044AE2"/>
    <w:rsid w:val="000517AB"/>
    <w:rsid w:val="0005247D"/>
    <w:rsid w:val="00056C7C"/>
    <w:rsid w:val="000607A0"/>
    <w:rsid w:val="000716C8"/>
    <w:rsid w:val="00071ECB"/>
    <w:rsid w:val="00075338"/>
    <w:rsid w:val="00077CE5"/>
    <w:rsid w:val="00080215"/>
    <w:rsid w:val="0008047B"/>
    <w:rsid w:val="0008055B"/>
    <w:rsid w:val="0008483C"/>
    <w:rsid w:val="00087BB7"/>
    <w:rsid w:val="000A3507"/>
    <w:rsid w:val="000B07BD"/>
    <w:rsid w:val="000B5729"/>
    <w:rsid w:val="000B6232"/>
    <w:rsid w:val="000C0844"/>
    <w:rsid w:val="000D3D08"/>
    <w:rsid w:val="000D7056"/>
    <w:rsid w:val="000E58C5"/>
    <w:rsid w:val="000F210F"/>
    <w:rsid w:val="000F3358"/>
    <w:rsid w:val="00111290"/>
    <w:rsid w:val="001133C2"/>
    <w:rsid w:val="001164BF"/>
    <w:rsid w:val="00117E02"/>
    <w:rsid w:val="00120797"/>
    <w:rsid w:val="00126474"/>
    <w:rsid w:val="00141BD8"/>
    <w:rsid w:val="00141FE7"/>
    <w:rsid w:val="001427B1"/>
    <w:rsid w:val="00147608"/>
    <w:rsid w:val="001539F3"/>
    <w:rsid w:val="00157CF7"/>
    <w:rsid w:val="00161043"/>
    <w:rsid w:val="001638BB"/>
    <w:rsid w:val="00171C9F"/>
    <w:rsid w:val="00173CE9"/>
    <w:rsid w:val="001937FB"/>
    <w:rsid w:val="001A2053"/>
    <w:rsid w:val="001A536E"/>
    <w:rsid w:val="001B012E"/>
    <w:rsid w:val="001B1FD8"/>
    <w:rsid w:val="001B3527"/>
    <w:rsid w:val="001B3F3C"/>
    <w:rsid w:val="001B5B6F"/>
    <w:rsid w:val="001C1007"/>
    <w:rsid w:val="001C29E7"/>
    <w:rsid w:val="001C6A4A"/>
    <w:rsid w:val="001D79A6"/>
    <w:rsid w:val="001D7BE9"/>
    <w:rsid w:val="001E64F4"/>
    <w:rsid w:val="001F54FD"/>
    <w:rsid w:val="001F75AB"/>
    <w:rsid w:val="002141B1"/>
    <w:rsid w:val="002208BD"/>
    <w:rsid w:val="0022265E"/>
    <w:rsid w:val="0022341E"/>
    <w:rsid w:val="0022644A"/>
    <w:rsid w:val="00230AC6"/>
    <w:rsid w:val="00232FD8"/>
    <w:rsid w:val="00233710"/>
    <w:rsid w:val="00246DE9"/>
    <w:rsid w:val="00260315"/>
    <w:rsid w:val="002615A5"/>
    <w:rsid w:val="00265265"/>
    <w:rsid w:val="0026580D"/>
    <w:rsid w:val="002771C3"/>
    <w:rsid w:val="00282B8B"/>
    <w:rsid w:val="00284556"/>
    <w:rsid w:val="002850F8"/>
    <w:rsid w:val="002858EE"/>
    <w:rsid w:val="002864E1"/>
    <w:rsid w:val="00290B0C"/>
    <w:rsid w:val="00290E4E"/>
    <w:rsid w:val="002930D8"/>
    <w:rsid w:val="0029419E"/>
    <w:rsid w:val="00295459"/>
    <w:rsid w:val="00296505"/>
    <w:rsid w:val="002A75BB"/>
    <w:rsid w:val="002B14CC"/>
    <w:rsid w:val="002B3CFA"/>
    <w:rsid w:val="002D4C7E"/>
    <w:rsid w:val="002E00FF"/>
    <w:rsid w:val="002E1A11"/>
    <w:rsid w:val="002E223A"/>
    <w:rsid w:val="002E2BE7"/>
    <w:rsid w:val="002E2C2C"/>
    <w:rsid w:val="002E53EC"/>
    <w:rsid w:val="002F12A8"/>
    <w:rsid w:val="002F3197"/>
    <w:rsid w:val="002F6058"/>
    <w:rsid w:val="0030289B"/>
    <w:rsid w:val="00302B65"/>
    <w:rsid w:val="00305E28"/>
    <w:rsid w:val="00316AB9"/>
    <w:rsid w:val="00331FEA"/>
    <w:rsid w:val="003359B3"/>
    <w:rsid w:val="00343956"/>
    <w:rsid w:val="0035032D"/>
    <w:rsid w:val="00364746"/>
    <w:rsid w:val="00370F9C"/>
    <w:rsid w:val="00371BC2"/>
    <w:rsid w:val="00381C69"/>
    <w:rsid w:val="003822DF"/>
    <w:rsid w:val="00384E33"/>
    <w:rsid w:val="00387A94"/>
    <w:rsid w:val="00393F0E"/>
    <w:rsid w:val="003A2D39"/>
    <w:rsid w:val="003B3660"/>
    <w:rsid w:val="003B3E61"/>
    <w:rsid w:val="003B7DB4"/>
    <w:rsid w:val="003C0F69"/>
    <w:rsid w:val="003C1ED3"/>
    <w:rsid w:val="003C318A"/>
    <w:rsid w:val="003C43A7"/>
    <w:rsid w:val="003D1A6A"/>
    <w:rsid w:val="003D47F5"/>
    <w:rsid w:val="003D5550"/>
    <w:rsid w:val="003D6DFB"/>
    <w:rsid w:val="003D722D"/>
    <w:rsid w:val="003E039D"/>
    <w:rsid w:val="003E05A4"/>
    <w:rsid w:val="003E1195"/>
    <w:rsid w:val="003E3F04"/>
    <w:rsid w:val="003E6CBE"/>
    <w:rsid w:val="003F1C08"/>
    <w:rsid w:val="003F2DEE"/>
    <w:rsid w:val="00400BBB"/>
    <w:rsid w:val="0040211D"/>
    <w:rsid w:val="00403074"/>
    <w:rsid w:val="00403F09"/>
    <w:rsid w:val="00410E02"/>
    <w:rsid w:val="004124E6"/>
    <w:rsid w:val="004134FB"/>
    <w:rsid w:val="00422E58"/>
    <w:rsid w:val="00427F63"/>
    <w:rsid w:val="00430F96"/>
    <w:rsid w:val="00433A32"/>
    <w:rsid w:val="00437C59"/>
    <w:rsid w:val="00445A7A"/>
    <w:rsid w:val="00446948"/>
    <w:rsid w:val="00450B0E"/>
    <w:rsid w:val="00450FA6"/>
    <w:rsid w:val="00453391"/>
    <w:rsid w:val="00454394"/>
    <w:rsid w:val="004558FF"/>
    <w:rsid w:val="004611A6"/>
    <w:rsid w:val="00471893"/>
    <w:rsid w:val="004718B0"/>
    <w:rsid w:val="0047392E"/>
    <w:rsid w:val="00493F36"/>
    <w:rsid w:val="00495A40"/>
    <w:rsid w:val="004B3946"/>
    <w:rsid w:val="004B7D24"/>
    <w:rsid w:val="004C1055"/>
    <w:rsid w:val="004C2EE4"/>
    <w:rsid w:val="004C54F2"/>
    <w:rsid w:val="004C7812"/>
    <w:rsid w:val="004D01D8"/>
    <w:rsid w:val="004E0B26"/>
    <w:rsid w:val="004E3453"/>
    <w:rsid w:val="004E354E"/>
    <w:rsid w:val="004E4617"/>
    <w:rsid w:val="004E46FA"/>
    <w:rsid w:val="004E4D82"/>
    <w:rsid w:val="004F0B96"/>
    <w:rsid w:val="004F2E6A"/>
    <w:rsid w:val="004F36A6"/>
    <w:rsid w:val="004F56D7"/>
    <w:rsid w:val="004F5BEE"/>
    <w:rsid w:val="004F7D24"/>
    <w:rsid w:val="00505779"/>
    <w:rsid w:val="00510869"/>
    <w:rsid w:val="005109D9"/>
    <w:rsid w:val="00512932"/>
    <w:rsid w:val="0052105C"/>
    <w:rsid w:val="00524535"/>
    <w:rsid w:val="005350B1"/>
    <w:rsid w:val="005472CB"/>
    <w:rsid w:val="0055321E"/>
    <w:rsid w:val="00554D42"/>
    <w:rsid w:val="00566292"/>
    <w:rsid w:val="0056723A"/>
    <w:rsid w:val="00571B31"/>
    <w:rsid w:val="0057474E"/>
    <w:rsid w:val="00577DEC"/>
    <w:rsid w:val="00580F36"/>
    <w:rsid w:val="00581CF6"/>
    <w:rsid w:val="00584E00"/>
    <w:rsid w:val="00585984"/>
    <w:rsid w:val="005908F9"/>
    <w:rsid w:val="005909D4"/>
    <w:rsid w:val="00593D06"/>
    <w:rsid w:val="005A13B8"/>
    <w:rsid w:val="005A4423"/>
    <w:rsid w:val="005A4BC5"/>
    <w:rsid w:val="005A51DD"/>
    <w:rsid w:val="005B1166"/>
    <w:rsid w:val="005B2BBD"/>
    <w:rsid w:val="005B4D47"/>
    <w:rsid w:val="005C2AF9"/>
    <w:rsid w:val="005C5401"/>
    <w:rsid w:val="005C6770"/>
    <w:rsid w:val="005D00DE"/>
    <w:rsid w:val="005D6A45"/>
    <w:rsid w:val="005E259E"/>
    <w:rsid w:val="005E25FD"/>
    <w:rsid w:val="005E3B3C"/>
    <w:rsid w:val="005E5309"/>
    <w:rsid w:val="005E7B3D"/>
    <w:rsid w:val="00602A27"/>
    <w:rsid w:val="00602E64"/>
    <w:rsid w:val="00604C57"/>
    <w:rsid w:val="0062577C"/>
    <w:rsid w:val="00627723"/>
    <w:rsid w:val="006329C8"/>
    <w:rsid w:val="00640194"/>
    <w:rsid w:val="006444F9"/>
    <w:rsid w:val="00646C67"/>
    <w:rsid w:val="0065031E"/>
    <w:rsid w:val="006556D3"/>
    <w:rsid w:val="00656CF7"/>
    <w:rsid w:val="006631F6"/>
    <w:rsid w:val="00665387"/>
    <w:rsid w:val="006729EA"/>
    <w:rsid w:val="0067617E"/>
    <w:rsid w:val="0067648F"/>
    <w:rsid w:val="00676887"/>
    <w:rsid w:val="006810DD"/>
    <w:rsid w:val="00685B10"/>
    <w:rsid w:val="0069098F"/>
    <w:rsid w:val="006A6467"/>
    <w:rsid w:val="006B77D3"/>
    <w:rsid w:val="006C0155"/>
    <w:rsid w:val="006C2FE5"/>
    <w:rsid w:val="006C6239"/>
    <w:rsid w:val="006D12B7"/>
    <w:rsid w:val="006D325C"/>
    <w:rsid w:val="006D3359"/>
    <w:rsid w:val="006D3AEC"/>
    <w:rsid w:val="006D7B89"/>
    <w:rsid w:val="006E020B"/>
    <w:rsid w:val="006E2DC9"/>
    <w:rsid w:val="006E6FD5"/>
    <w:rsid w:val="006F0E0D"/>
    <w:rsid w:val="006F1A99"/>
    <w:rsid w:val="006F5F85"/>
    <w:rsid w:val="007041D9"/>
    <w:rsid w:val="00710E15"/>
    <w:rsid w:val="00712BB2"/>
    <w:rsid w:val="00712F3C"/>
    <w:rsid w:val="00714D4E"/>
    <w:rsid w:val="00715481"/>
    <w:rsid w:val="0072085A"/>
    <w:rsid w:val="0072260F"/>
    <w:rsid w:val="007243B4"/>
    <w:rsid w:val="00726339"/>
    <w:rsid w:val="00726B1D"/>
    <w:rsid w:val="00727B74"/>
    <w:rsid w:val="00730E97"/>
    <w:rsid w:val="00731BCD"/>
    <w:rsid w:val="00736CFB"/>
    <w:rsid w:val="00737301"/>
    <w:rsid w:val="007407B7"/>
    <w:rsid w:val="00740959"/>
    <w:rsid w:val="00745828"/>
    <w:rsid w:val="00752BA2"/>
    <w:rsid w:val="00765579"/>
    <w:rsid w:val="00770B75"/>
    <w:rsid w:val="00774C01"/>
    <w:rsid w:val="0077646E"/>
    <w:rsid w:val="00776E95"/>
    <w:rsid w:val="007774A1"/>
    <w:rsid w:val="00781256"/>
    <w:rsid w:val="00785FCC"/>
    <w:rsid w:val="00786F42"/>
    <w:rsid w:val="007A391B"/>
    <w:rsid w:val="007A5BBF"/>
    <w:rsid w:val="007B19E8"/>
    <w:rsid w:val="007B2A0F"/>
    <w:rsid w:val="007C3AEB"/>
    <w:rsid w:val="007C5545"/>
    <w:rsid w:val="007D1E7A"/>
    <w:rsid w:val="007E176C"/>
    <w:rsid w:val="007F07EC"/>
    <w:rsid w:val="0080034D"/>
    <w:rsid w:val="008053BD"/>
    <w:rsid w:val="00814B4C"/>
    <w:rsid w:val="00815EDD"/>
    <w:rsid w:val="008344DD"/>
    <w:rsid w:val="008436F6"/>
    <w:rsid w:val="00843D06"/>
    <w:rsid w:val="008445AB"/>
    <w:rsid w:val="00851355"/>
    <w:rsid w:val="00852298"/>
    <w:rsid w:val="008624FC"/>
    <w:rsid w:val="008651A1"/>
    <w:rsid w:val="00867260"/>
    <w:rsid w:val="00870032"/>
    <w:rsid w:val="00876D02"/>
    <w:rsid w:val="00885B80"/>
    <w:rsid w:val="008913B7"/>
    <w:rsid w:val="00893754"/>
    <w:rsid w:val="00895D6D"/>
    <w:rsid w:val="008A2B64"/>
    <w:rsid w:val="008A4143"/>
    <w:rsid w:val="008A7684"/>
    <w:rsid w:val="008B0A6B"/>
    <w:rsid w:val="008B0B87"/>
    <w:rsid w:val="008B27E0"/>
    <w:rsid w:val="008B692A"/>
    <w:rsid w:val="008B733E"/>
    <w:rsid w:val="008C0E17"/>
    <w:rsid w:val="008C4BAE"/>
    <w:rsid w:val="008C5067"/>
    <w:rsid w:val="008C50EC"/>
    <w:rsid w:val="008D056E"/>
    <w:rsid w:val="008D6B37"/>
    <w:rsid w:val="008E233A"/>
    <w:rsid w:val="008E47A1"/>
    <w:rsid w:val="008E616C"/>
    <w:rsid w:val="008F22B2"/>
    <w:rsid w:val="008F4121"/>
    <w:rsid w:val="008F5FC9"/>
    <w:rsid w:val="009031C9"/>
    <w:rsid w:val="00906D18"/>
    <w:rsid w:val="00913E11"/>
    <w:rsid w:val="009151C6"/>
    <w:rsid w:val="00924451"/>
    <w:rsid w:val="00925451"/>
    <w:rsid w:val="009336A6"/>
    <w:rsid w:val="00936743"/>
    <w:rsid w:val="009371EA"/>
    <w:rsid w:val="0094042D"/>
    <w:rsid w:val="00941656"/>
    <w:rsid w:val="00941C34"/>
    <w:rsid w:val="00945345"/>
    <w:rsid w:val="00946ACE"/>
    <w:rsid w:val="00947018"/>
    <w:rsid w:val="009474FF"/>
    <w:rsid w:val="00955C0D"/>
    <w:rsid w:val="00957BDF"/>
    <w:rsid w:val="009713B8"/>
    <w:rsid w:val="009735D2"/>
    <w:rsid w:val="00985669"/>
    <w:rsid w:val="00992B49"/>
    <w:rsid w:val="00993C86"/>
    <w:rsid w:val="009B1036"/>
    <w:rsid w:val="009D490D"/>
    <w:rsid w:val="009D523D"/>
    <w:rsid w:val="009D5630"/>
    <w:rsid w:val="009E5315"/>
    <w:rsid w:val="009F43FC"/>
    <w:rsid w:val="009F46C6"/>
    <w:rsid w:val="009F5C34"/>
    <w:rsid w:val="00A0451B"/>
    <w:rsid w:val="00A078B1"/>
    <w:rsid w:val="00A13A8C"/>
    <w:rsid w:val="00A151E3"/>
    <w:rsid w:val="00A161CD"/>
    <w:rsid w:val="00A206B7"/>
    <w:rsid w:val="00A243C8"/>
    <w:rsid w:val="00A35D60"/>
    <w:rsid w:val="00A35F89"/>
    <w:rsid w:val="00A36409"/>
    <w:rsid w:val="00A40FCC"/>
    <w:rsid w:val="00A52206"/>
    <w:rsid w:val="00A5478F"/>
    <w:rsid w:val="00A56357"/>
    <w:rsid w:val="00A66BBC"/>
    <w:rsid w:val="00A728D6"/>
    <w:rsid w:val="00A72B9B"/>
    <w:rsid w:val="00A7312B"/>
    <w:rsid w:val="00A8485E"/>
    <w:rsid w:val="00A87AAF"/>
    <w:rsid w:val="00A87D6C"/>
    <w:rsid w:val="00A90858"/>
    <w:rsid w:val="00AA4092"/>
    <w:rsid w:val="00AA606E"/>
    <w:rsid w:val="00AA6978"/>
    <w:rsid w:val="00AA6BE1"/>
    <w:rsid w:val="00AB10D1"/>
    <w:rsid w:val="00AB3504"/>
    <w:rsid w:val="00AB4741"/>
    <w:rsid w:val="00AB54B9"/>
    <w:rsid w:val="00AB6C14"/>
    <w:rsid w:val="00AB7BE5"/>
    <w:rsid w:val="00AC152F"/>
    <w:rsid w:val="00AC275E"/>
    <w:rsid w:val="00AC27D6"/>
    <w:rsid w:val="00AC4687"/>
    <w:rsid w:val="00AC74FE"/>
    <w:rsid w:val="00AD1D85"/>
    <w:rsid w:val="00AD4227"/>
    <w:rsid w:val="00AE00B4"/>
    <w:rsid w:val="00AE1F3D"/>
    <w:rsid w:val="00AE2430"/>
    <w:rsid w:val="00AE5A20"/>
    <w:rsid w:val="00AF35E1"/>
    <w:rsid w:val="00AF77BB"/>
    <w:rsid w:val="00B0055E"/>
    <w:rsid w:val="00B03215"/>
    <w:rsid w:val="00B04FF9"/>
    <w:rsid w:val="00B0536D"/>
    <w:rsid w:val="00B06312"/>
    <w:rsid w:val="00B13F74"/>
    <w:rsid w:val="00B1611E"/>
    <w:rsid w:val="00B162AD"/>
    <w:rsid w:val="00B24B92"/>
    <w:rsid w:val="00B34724"/>
    <w:rsid w:val="00B35796"/>
    <w:rsid w:val="00B3737A"/>
    <w:rsid w:val="00B44C36"/>
    <w:rsid w:val="00B4605F"/>
    <w:rsid w:val="00B5440C"/>
    <w:rsid w:val="00B54EF9"/>
    <w:rsid w:val="00B63213"/>
    <w:rsid w:val="00B63B70"/>
    <w:rsid w:val="00B71E16"/>
    <w:rsid w:val="00B75ECF"/>
    <w:rsid w:val="00B80555"/>
    <w:rsid w:val="00B82C36"/>
    <w:rsid w:val="00BA3956"/>
    <w:rsid w:val="00BA60CF"/>
    <w:rsid w:val="00BA73DA"/>
    <w:rsid w:val="00BC6257"/>
    <w:rsid w:val="00BD2091"/>
    <w:rsid w:val="00BD3F70"/>
    <w:rsid w:val="00BD40BB"/>
    <w:rsid w:val="00BE0284"/>
    <w:rsid w:val="00BE4D87"/>
    <w:rsid w:val="00BE5DFD"/>
    <w:rsid w:val="00BF16C4"/>
    <w:rsid w:val="00C046B2"/>
    <w:rsid w:val="00C058F6"/>
    <w:rsid w:val="00C06DEB"/>
    <w:rsid w:val="00C143AC"/>
    <w:rsid w:val="00C1627A"/>
    <w:rsid w:val="00C3053F"/>
    <w:rsid w:val="00C31492"/>
    <w:rsid w:val="00C33D9D"/>
    <w:rsid w:val="00C407CC"/>
    <w:rsid w:val="00C442CE"/>
    <w:rsid w:val="00C44FFE"/>
    <w:rsid w:val="00C50A30"/>
    <w:rsid w:val="00C55767"/>
    <w:rsid w:val="00C5656E"/>
    <w:rsid w:val="00C67B3A"/>
    <w:rsid w:val="00C74973"/>
    <w:rsid w:val="00C74B17"/>
    <w:rsid w:val="00C74FDA"/>
    <w:rsid w:val="00C7519E"/>
    <w:rsid w:val="00C76C35"/>
    <w:rsid w:val="00C77C26"/>
    <w:rsid w:val="00C83CFD"/>
    <w:rsid w:val="00C8598B"/>
    <w:rsid w:val="00C86EC6"/>
    <w:rsid w:val="00C873D0"/>
    <w:rsid w:val="00C91B4D"/>
    <w:rsid w:val="00C93319"/>
    <w:rsid w:val="00C93B1E"/>
    <w:rsid w:val="00C94B3A"/>
    <w:rsid w:val="00C966CE"/>
    <w:rsid w:val="00CA6C4E"/>
    <w:rsid w:val="00CB20C4"/>
    <w:rsid w:val="00CB5A0C"/>
    <w:rsid w:val="00CB6DCB"/>
    <w:rsid w:val="00CB7B19"/>
    <w:rsid w:val="00CC0531"/>
    <w:rsid w:val="00CC5868"/>
    <w:rsid w:val="00CC6FDA"/>
    <w:rsid w:val="00CC7486"/>
    <w:rsid w:val="00CC75BF"/>
    <w:rsid w:val="00CD1ABE"/>
    <w:rsid w:val="00CD309F"/>
    <w:rsid w:val="00CD661A"/>
    <w:rsid w:val="00CE18F2"/>
    <w:rsid w:val="00CE266B"/>
    <w:rsid w:val="00CE5EC3"/>
    <w:rsid w:val="00CE69FD"/>
    <w:rsid w:val="00CF399C"/>
    <w:rsid w:val="00CF39F9"/>
    <w:rsid w:val="00D06BA7"/>
    <w:rsid w:val="00D07FB0"/>
    <w:rsid w:val="00D22430"/>
    <w:rsid w:val="00D2607D"/>
    <w:rsid w:val="00D30F6D"/>
    <w:rsid w:val="00D31E1E"/>
    <w:rsid w:val="00D33DD4"/>
    <w:rsid w:val="00D34EFA"/>
    <w:rsid w:val="00D50807"/>
    <w:rsid w:val="00D516C1"/>
    <w:rsid w:val="00D55B59"/>
    <w:rsid w:val="00D562CE"/>
    <w:rsid w:val="00D574C1"/>
    <w:rsid w:val="00D61A41"/>
    <w:rsid w:val="00D621C6"/>
    <w:rsid w:val="00D74326"/>
    <w:rsid w:val="00D7432C"/>
    <w:rsid w:val="00D7718E"/>
    <w:rsid w:val="00D851E7"/>
    <w:rsid w:val="00D928DA"/>
    <w:rsid w:val="00DA113A"/>
    <w:rsid w:val="00DA211C"/>
    <w:rsid w:val="00DA499C"/>
    <w:rsid w:val="00DA5F5F"/>
    <w:rsid w:val="00DA7AA3"/>
    <w:rsid w:val="00DB05E4"/>
    <w:rsid w:val="00DB0A8C"/>
    <w:rsid w:val="00DB35DE"/>
    <w:rsid w:val="00DB3E4C"/>
    <w:rsid w:val="00DB452C"/>
    <w:rsid w:val="00DB5667"/>
    <w:rsid w:val="00DB7C66"/>
    <w:rsid w:val="00DC1923"/>
    <w:rsid w:val="00DC356F"/>
    <w:rsid w:val="00DC742C"/>
    <w:rsid w:val="00DD2146"/>
    <w:rsid w:val="00DD4BCF"/>
    <w:rsid w:val="00DD66BE"/>
    <w:rsid w:val="00DD6F6E"/>
    <w:rsid w:val="00DE03C5"/>
    <w:rsid w:val="00DE2541"/>
    <w:rsid w:val="00DE3141"/>
    <w:rsid w:val="00DF11D7"/>
    <w:rsid w:val="00DF2F0E"/>
    <w:rsid w:val="00E051EB"/>
    <w:rsid w:val="00E17370"/>
    <w:rsid w:val="00E179DA"/>
    <w:rsid w:val="00E254A9"/>
    <w:rsid w:val="00E4765B"/>
    <w:rsid w:val="00E53565"/>
    <w:rsid w:val="00E55EDC"/>
    <w:rsid w:val="00E613D6"/>
    <w:rsid w:val="00E70C85"/>
    <w:rsid w:val="00E71817"/>
    <w:rsid w:val="00E830E1"/>
    <w:rsid w:val="00E83BAF"/>
    <w:rsid w:val="00E84008"/>
    <w:rsid w:val="00E944BD"/>
    <w:rsid w:val="00E96C7C"/>
    <w:rsid w:val="00EA49EB"/>
    <w:rsid w:val="00EA624C"/>
    <w:rsid w:val="00EA62E4"/>
    <w:rsid w:val="00EA678E"/>
    <w:rsid w:val="00EA7A14"/>
    <w:rsid w:val="00EB0B59"/>
    <w:rsid w:val="00EB1085"/>
    <w:rsid w:val="00EB2651"/>
    <w:rsid w:val="00EB551F"/>
    <w:rsid w:val="00ED3515"/>
    <w:rsid w:val="00ED3D02"/>
    <w:rsid w:val="00ED43D5"/>
    <w:rsid w:val="00EE3D5E"/>
    <w:rsid w:val="00EF192B"/>
    <w:rsid w:val="00F03C8F"/>
    <w:rsid w:val="00F045A2"/>
    <w:rsid w:val="00F04A77"/>
    <w:rsid w:val="00F0540C"/>
    <w:rsid w:val="00F2356E"/>
    <w:rsid w:val="00F32947"/>
    <w:rsid w:val="00F32A8B"/>
    <w:rsid w:val="00F3335D"/>
    <w:rsid w:val="00F52E83"/>
    <w:rsid w:val="00F5349C"/>
    <w:rsid w:val="00F64828"/>
    <w:rsid w:val="00F75CFC"/>
    <w:rsid w:val="00F8039D"/>
    <w:rsid w:val="00F80D2D"/>
    <w:rsid w:val="00F83905"/>
    <w:rsid w:val="00F83F2B"/>
    <w:rsid w:val="00F83FD9"/>
    <w:rsid w:val="00F93B23"/>
    <w:rsid w:val="00F97124"/>
    <w:rsid w:val="00FB058E"/>
    <w:rsid w:val="00FB6C6B"/>
    <w:rsid w:val="00FC0E83"/>
    <w:rsid w:val="00FC14DE"/>
    <w:rsid w:val="00FC2105"/>
    <w:rsid w:val="00FD6959"/>
    <w:rsid w:val="00FE2CB1"/>
    <w:rsid w:val="00FE6199"/>
    <w:rsid w:val="00FF64BE"/>
    <w:rsid w:val="00FF7910"/>
    <w:rsid w:val="01192BCD"/>
    <w:rsid w:val="013F6D43"/>
    <w:rsid w:val="016521F3"/>
    <w:rsid w:val="0193465E"/>
    <w:rsid w:val="019A4755"/>
    <w:rsid w:val="01A23207"/>
    <w:rsid w:val="01AC040A"/>
    <w:rsid w:val="01AE2748"/>
    <w:rsid w:val="01B003D3"/>
    <w:rsid w:val="01CC12ED"/>
    <w:rsid w:val="01ED1133"/>
    <w:rsid w:val="01ED20D8"/>
    <w:rsid w:val="021A750B"/>
    <w:rsid w:val="021F1DE5"/>
    <w:rsid w:val="024A0E5B"/>
    <w:rsid w:val="02822A1F"/>
    <w:rsid w:val="02852E80"/>
    <w:rsid w:val="02935C73"/>
    <w:rsid w:val="029F0893"/>
    <w:rsid w:val="02A446D0"/>
    <w:rsid w:val="02A450DD"/>
    <w:rsid w:val="02B35FED"/>
    <w:rsid w:val="02C21CD3"/>
    <w:rsid w:val="02CA526E"/>
    <w:rsid w:val="02CB6146"/>
    <w:rsid w:val="02F60044"/>
    <w:rsid w:val="02F76042"/>
    <w:rsid w:val="034C781F"/>
    <w:rsid w:val="035613AA"/>
    <w:rsid w:val="036048E8"/>
    <w:rsid w:val="037A1240"/>
    <w:rsid w:val="03935831"/>
    <w:rsid w:val="03E760E4"/>
    <w:rsid w:val="042919FC"/>
    <w:rsid w:val="04A840D6"/>
    <w:rsid w:val="04B27679"/>
    <w:rsid w:val="04E506CE"/>
    <w:rsid w:val="05353A15"/>
    <w:rsid w:val="053571F4"/>
    <w:rsid w:val="053578EA"/>
    <w:rsid w:val="0588718F"/>
    <w:rsid w:val="05DD1B63"/>
    <w:rsid w:val="05FD5123"/>
    <w:rsid w:val="061F52B4"/>
    <w:rsid w:val="062A7815"/>
    <w:rsid w:val="06361CDD"/>
    <w:rsid w:val="063947FD"/>
    <w:rsid w:val="063F7823"/>
    <w:rsid w:val="06482C11"/>
    <w:rsid w:val="0663724A"/>
    <w:rsid w:val="067F48AE"/>
    <w:rsid w:val="068D5749"/>
    <w:rsid w:val="069A105D"/>
    <w:rsid w:val="06B35987"/>
    <w:rsid w:val="06B52632"/>
    <w:rsid w:val="06D731A5"/>
    <w:rsid w:val="06F57187"/>
    <w:rsid w:val="071A2C44"/>
    <w:rsid w:val="072116FC"/>
    <w:rsid w:val="07420C55"/>
    <w:rsid w:val="0758020E"/>
    <w:rsid w:val="077E7C54"/>
    <w:rsid w:val="07845E3D"/>
    <w:rsid w:val="07917CB7"/>
    <w:rsid w:val="079852C4"/>
    <w:rsid w:val="079C00BC"/>
    <w:rsid w:val="07C317F8"/>
    <w:rsid w:val="07E85816"/>
    <w:rsid w:val="07EB0561"/>
    <w:rsid w:val="07F3768C"/>
    <w:rsid w:val="08291C86"/>
    <w:rsid w:val="08387220"/>
    <w:rsid w:val="084D389F"/>
    <w:rsid w:val="08604CFF"/>
    <w:rsid w:val="08804892"/>
    <w:rsid w:val="08991E5C"/>
    <w:rsid w:val="08CE5B4B"/>
    <w:rsid w:val="08DE15BE"/>
    <w:rsid w:val="090837D4"/>
    <w:rsid w:val="0916660E"/>
    <w:rsid w:val="096306F3"/>
    <w:rsid w:val="09724B2F"/>
    <w:rsid w:val="09765C6D"/>
    <w:rsid w:val="09A83B00"/>
    <w:rsid w:val="09D10B8A"/>
    <w:rsid w:val="09E14A2E"/>
    <w:rsid w:val="0A0E16F1"/>
    <w:rsid w:val="0A1A516D"/>
    <w:rsid w:val="0A253949"/>
    <w:rsid w:val="0A48279B"/>
    <w:rsid w:val="0A5914AC"/>
    <w:rsid w:val="0ABB50F3"/>
    <w:rsid w:val="0ACC5C36"/>
    <w:rsid w:val="0ACE7C3B"/>
    <w:rsid w:val="0AE2499D"/>
    <w:rsid w:val="0AFE256E"/>
    <w:rsid w:val="0B084F6E"/>
    <w:rsid w:val="0B45660B"/>
    <w:rsid w:val="0B6B46B5"/>
    <w:rsid w:val="0B9E3EBC"/>
    <w:rsid w:val="0BA11609"/>
    <w:rsid w:val="0BB40B86"/>
    <w:rsid w:val="0BDD044A"/>
    <w:rsid w:val="0BF753D8"/>
    <w:rsid w:val="0BF914EF"/>
    <w:rsid w:val="0C14568C"/>
    <w:rsid w:val="0C84265A"/>
    <w:rsid w:val="0C9A1E77"/>
    <w:rsid w:val="0CA12078"/>
    <w:rsid w:val="0CA34978"/>
    <w:rsid w:val="0CA42195"/>
    <w:rsid w:val="0CA42383"/>
    <w:rsid w:val="0CA50407"/>
    <w:rsid w:val="0CF923BB"/>
    <w:rsid w:val="0D1D65E2"/>
    <w:rsid w:val="0D6531F0"/>
    <w:rsid w:val="0D871C0A"/>
    <w:rsid w:val="0D8A7A5C"/>
    <w:rsid w:val="0DB47A7D"/>
    <w:rsid w:val="0DB605FC"/>
    <w:rsid w:val="0DBA3A80"/>
    <w:rsid w:val="0DBB5662"/>
    <w:rsid w:val="0DBF3760"/>
    <w:rsid w:val="0DD95F62"/>
    <w:rsid w:val="0DF1473A"/>
    <w:rsid w:val="0E290094"/>
    <w:rsid w:val="0E52185E"/>
    <w:rsid w:val="0E7016BD"/>
    <w:rsid w:val="0E8458D3"/>
    <w:rsid w:val="0E915315"/>
    <w:rsid w:val="0E962BB9"/>
    <w:rsid w:val="0E9E307A"/>
    <w:rsid w:val="0EAD744E"/>
    <w:rsid w:val="0EB277E6"/>
    <w:rsid w:val="0ECC00C0"/>
    <w:rsid w:val="0EE55ACB"/>
    <w:rsid w:val="0F006D04"/>
    <w:rsid w:val="0F0A78F1"/>
    <w:rsid w:val="0F1F1CED"/>
    <w:rsid w:val="0F2F10A3"/>
    <w:rsid w:val="0F3377CF"/>
    <w:rsid w:val="0F5878BD"/>
    <w:rsid w:val="0F61066D"/>
    <w:rsid w:val="0F7400C7"/>
    <w:rsid w:val="0F7E54E4"/>
    <w:rsid w:val="0F8C372C"/>
    <w:rsid w:val="0F8D46B6"/>
    <w:rsid w:val="0FAF4016"/>
    <w:rsid w:val="0FE15E3B"/>
    <w:rsid w:val="0FEE6156"/>
    <w:rsid w:val="0FFB4809"/>
    <w:rsid w:val="10181C36"/>
    <w:rsid w:val="10192B78"/>
    <w:rsid w:val="102F37CD"/>
    <w:rsid w:val="103C7067"/>
    <w:rsid w:val="10547779"/>
    <w:rsid w:val="105E73A1"/>
    <w:rsid w:val="10642BBB"/>
    <w:rsid w:val="10837D5A"/>
    <w:rsid w:val="109354A1"/>
    <w:rsid w:val="10A4553A"/>
    <w:rsid w:val="10C86246"/>
    <w:rsid w:val="10EE0DBC"/>
    <w:rsid w:val="10FE4748"/>
    <w:rsid w:val="11177FED"/>
    <w:rsid w:val="11226B41"/>
    <w:rsid w:val="113B0702"/>
    <w:rsid w:val="115A07CB"/>
    <w:rsid w:val="118A7FF4"/>
    <w:rsid w:val="11907B4B"/>
    <w:rsid w:val="11BE122B"/>
    <w:rsid w:val="11C42F1F"/>
    <w:rsid w:val="11DF04E6"/>
    <w:rsid w:val="121D07EC"/>
    <w:rsid w:val="122B23F1"/>
    <w:rsid w:val="124C1297"/>
    <w:rsid w:val="125869EB"/>
    <w:rsid w:val="127C68E6"/>
    <w:rsid w:val="12AE09E4"/>
    <w:rsid w:val="12B82A0F"/>
    <w:rsid w:val="12E63F4F"/>
    <w:rsid w:val="131A05C4"/>
    <w:rsid w:val="1345308F"/>
    <w:rsid w:val="1351311E"/>
    <w:rsid w:val="135A4709"/>
    <w:rsid w:val="135A681C"/>
    <w:rsid w:val="136C39ED"/>
    <w:rsid w:val="13784874"/>
    <w:rsid w:val="138B08B6"/>
    <w:rsid w:val="13B82603"/>
    <w:rsid w:val="13E14BC6"/>
    <w:rsid w:val="13E53E50"/>
    <w:rsid w:val="13FD1447"/>
    <w:rsid w:val="140F55D3"/>
    <w:rsid w:val="14130247"/>
    <w:rsid w:val="141D3A0F"/>
    <w:rsid w:val="14291B12"/>
    <w:rsid w:val="14381A12"/>
    <w:rsid w:val="14443512"/>
    <w:rsid w:val="147372B3"/>
    <w:rsid w:val="148510A6"/>
    <w:rsid w:val="148B3E2D"/>
    <w:rsid w:val="14AD2575"/>
    <w:rsid w:val="14BF56A7"/>
    <w:rsid w:val="14C67852"/>
    <w:rsid w:val="14ED0AB8"/>
    <w:rsid w:val="14EE2351"/>
    <w:rsid w:val="14F514AE"/>
    <w:rsid w:val="14FF590E"/>
    <w:rsid w:val="150120FA"/>
    <w:rsid w:val="15025BDC"/>
    <w:rsid w:val="150324E1"/>
    <w:rsid w:val="15327949"/>
    <w:rsid w:val="1535688E"/>
    <w:rsid w:val="154917A3"/>
    <w:rsid w:val="15630D1F"/>
    <w:rsid w:val="157A579F"/>
    <w:rsid w:val="158F23C6"/>
    <w:rsid w:val="15AE52E3"/>
    <w:rsid w:val="15B501E0"/>
    <w:rsid w:val="15F94D76"/>
    <w:rsid w:val="15FB3A7D"/>
    <w:rsid w:val="15FF2E59"/>
    <w:rsid w:val="164279C1"/>
    <w:rsid w:val="164D20E8"/>
    <w:rsid w:val="16547B7E"/>
    <w:rsid w:val="165878A0"/>
    <w:rsid w:val="165E034B"/>
    <w:rsid w:val="167A070D"/>
    <w:rsid w:val="16862B8D"/>
    <w:rsid w:val="16BD54D2"/>
    <w:rsid w:val="16C6203E"/>
    <w:rsid w:val="16D027C9"/>
    <w:rsid w:val="16E215F8"/>
    <w:rsid w:val="16E573D4"/>
    <w:rsid w:val="17197816"/>
    <w:rsid w:val="171C2EF2"/>
    <w:rsid w:val="1735258F"/>
    <w:rsid w:val="175D6945"/>
    <w:rsid w:val="176C6DAF"/>
    <w:rsid w:val="1795005F"/>
    <w:rsid w:val="17A61DA8"/>
    <w:rsid w:val="17AE5CC3"/>
    <w:rsid w:val="17E01B5C"/>
    <w:rsid w:val="17E30153"/>
    <w:rsid w:val="181172FD"/>
    <w:rsid w:val="18273612"/>
    <w:rsid w:val="182B1D6F"/>
    <w:rsid w:val="18326E46"/>
    <w:rsid w:val="18777A06"/>
    <w:rsid w:val="18946605"/>
    <w:rsid w:val="18AD1EFB"/>
    <w:rsid w:val="18B93262"/>
    <w:rsid w:val="18C93FB5"/>
    <w:rsid w:val="18CA1503"/>
    <w:rsid w:val="191D1933"/>
    <w:rsid w:val="19475420"/>
    <w:rsid w:val="19551C2F"/>
    <w:rsid w:val="19694456"/>
    <w:rsid w:val="1990049A"/>
    <w:rsid w:val="19B23D12"/>
    <w:rsid w:val="1A721C5B"/>
    <w:rsid w:val="1A750680"/>
    <w:rsid w:val="1A903392"/>
    <w:rsid w:val="1AE36772"/>
    <w:rsid w:val="1AEF6646"/>
    <w:rsid w:val="1B2867E6"/>
    <w:rsid w:val="1B8B338A"/>
    <w:rsid w:val="1B90082D"/>
    <w:rsid w:val="1B952D6A"/>
    <w:rsid w:val="1BE04F16"/>
    <w:rsid w:val="1BE56E54"/>
    <w:rsid w:val="1BFD582A"/>
    <w:rsid w:val="1C0F2885"/>
    <w:rsid w:val="1C12128E"/>
    <w:rsid w:val="1C2C31E1"/>
    <w:rsid w:val="1C3B109D"/>
    <w:rsid w:val="1C43328E"/>
    <w:rsid w:val="1C834E9F"/>
    <w:rsid w:val="1CAB6670"/>
    <w:rsid w:val="1CB42F15"/>
    <w:rsid w:val="1CCE26CA"/>
    <w:rsid w:val="1CD2701D"/>
    <w:rsid w:val="1CDE6EB2"/>
    <w:rsid w:val="1CE92DD7"/>
    <w:rsid w:val="1CF81F62"/>
    <w:rsid w:val="1D016650"/>
    <w:rsid w:val="1D0E1993"/>
    <w:rsid w:val="1D1620DB"/>
    <w:rsid w:val="1D267D5E"/>
    <w:rsid w:val="1D314364"/>
    <w:rsid w:val="1D3F1E89"/>
    <w:rsid w:val="1D7151BF"/>
    <w:rsid w:val="1D837EEA"/>
    <w:rsid w:val="1DA63116"/>
    <w:rsid w:val="1DC26E78"/>
    <w:rsid w:val="1DF57268"/>
    <w:rsid w:val="1E087755"/>
    <w:rsid w:val="1E230CD7"/>
    <w:rsid w:val="1E3B53A9"/>
    <w:rsid w:val="1E432D13"/>
    <w:rsid w:val="1E58140A"/>
    <w:rsid w:val="1E713664"/>
    <w:rsid w:val="1E72139A"/>
    <w:rsid w:val="1E764289"/>
    <w:rsid w:val="1E786352"/>
    <w:rsid w:val="1E803155"/>
    <w:rsid w:val="1E873E6A"/>
    <w:rsid w:val="1EAF6142"/>
    <w:rsid w:val="1EDB3550"/>
    <w:rsid w:val="1EE8611D"/>
    <w:rsid w:val="1F2236FD"/>
    <w:rsid w:val="1F4259B4"/>
    <w:rsid w:val="1F4A119F"/>
    <w:rsid w:val="1F547ED8"/>
    <w:rsid w:val="1F584C3E"/>
    <w:rsid w:val="1F651206"/>
    <w:rsid w:val="1F8854D1"/>
    <w:rsid w:val="1FF968F5"/>
    <w:rsid w:val="1FFC24BB"/>
    <w:rsid w:val="201C2034"/>
    <w:rsid w:val="20360A87"/>
    <w:rsid w:val="20617CC5"/>
    <w:rsid w:val="206C30D9"/>
    <w:rsid w:val="20793357"/>
    <w:rsid w:val="207A4C75"/>
    <w:rsid w:val="20B87E74"/>
    <w:rsid w:val="210A1C66"/>
    <w:rsid w:val="21223788"/>
    <w:rsid w:val="212300A1"/>
    <w:rsid w:val="212522A3"/>
    <w:rsid w:val="212754F4"/>
    <w:rsid w:val="218D10B7"/>
    <w:rsid w:val="219D3622"/>
    <w:rsid w:val="21A55570"/>
    <w:rsid w:val="21AE7D91"/>
    <w:rsid w:val="21B85ED9"/>
    <w:rsid w:val="21E2762D"/>
    <w:rsid w:val="21F1766E"/>
    <w:rsid w:val="22071305"/>
    <w:rsid w:val="220F1807"/>
    <w:rsid w:val="222421C0"/>
    <w:rsid w:val="2236216C"/>
    <w:rsid w:val="225A04BD"/>
    <w:rsid w:val="229F049D"/>
    <w:rsid w:val="22C465D2"/>
    <w:rsid w:val="22F4588A"/>
    <w:rsid w:val="22FE7C2F"/>
    <w:rsid w:val="23116C4F"/>
    <w:rsid w:val="23120B41"/>
    <w:rsid w:val="23230499"/>
    <w:rsid w:val="232469A9"/>
    <w:rsid w:val="232B16CE"/>
    <w:rsid w:val="23437507"/>
    <w:rsid w:val="23605CED"/>
    <w:rsid w:val="237524D0"/>
    <w:rsid w:val="2399560C"/>
    <w:rsid w:val="23AC067B"/>
    <w:rsid w:val="23BD73A3"/>
    <w:rsid w:val="23C33A9D"/>
    <w:rsid w:val="23D14E46"/>
    <w:rsid w:val="23E015AC"/>
    <w:rsid w:val="23F9222F"/>
    <w:rsid w:val="2413468E"/>
    <w:rsid w:val="243C769B"/>
    <w:rsid w:val="24517A0B"/>
    <w:rsid w:val="24557569"/>
    <w:rsid w:val="246F3657"/>
    <w:rsid w:val="24B83CFF"/>
    <w:rsid w:val="24BA053F"/>
    <w:rsid w:val="25292770"/>
    <w:rsid w:val="253102A5"/>
    <w:rsid w:val="25527239"/>
    <w:rsid w:val="25740D61"/>
    <w:rsid w:val="25A24D33"/>
    <w:rsid w:val="25E30D3D"/>
    <w:rsid w:val="260B5718"/>
    <w:rsid w:val="26115A06"/>
    <w:rsid w:val="261B4746"/>
    <w:rsid w:val="264B2438"/>
    <w:rsid w:val="26B132F0"/>
    <w:rsid w:val="26C21C2E"/>
    <w:rsid w:val="26C46643"/>
    <w:rsid w:val="26E43FA3"/>
    <w:rsid w:val="26F61CD7"/>
    <w:rsid w:val="271D33E9"/>
    <w:rsid w:val="271E2B40"/>
    <w:rsid w:val="27651C69"/>
    <w:rsid w:val="276B11A6"/>
    <w:rsid w:val="27817969"/>
    <w:rsid w:val="279E7EB4"/>
    <w:rsid w:val="27CD0982"/>
    <w:rsid w:val="27DB16AD"/>
    <w:rsid w:val="27E823AF"/>
    <w:rsid w:val="28265CC1"/>
    <w:rsid w:val="283A03C4"/>
    <w:rsid w:val="28AB2479"/>
    <w:rsid w:val="28C325A5"/>
    <w:rsid w:val="28C42A48"/>
    <w:rsid w:val="2901281B"/>
    <w:rsid w:val="291A7E8D"/>
    <w:rsid w:val="29266529"/>
    <w:rsid w:val="29581900"/>
    <w:rsid w:val="2979275D"/>
    <w:rsid w:val="299750E8"/>
    <w:rsid w:val="29984C60"/>
    <w:rsid w:val="29C86AD3"/>
    <w:rsid w:val="29CC358C"/>
    <w:rsid w:val="29D16CE9"/>
    <w:rsid w:val="29E36027"/>
    <w:rsid w:val="29F4526E"/>
    <w:rsid w:val="29F50264"/>
    <w:rsid w:val="2A0C7A5A"/>
    <w:rsid w:val="2A193838"/>
    <w:rsid w:val="2A244D27"/>
    <w:rsid w:val="2A363F7D"/>
    <w:rsid w:val="2A40490D"/>
    <w:rsid w:val="2A687084"/>
    <w:rsid w:val="2A7F02CD"/>
    <w:rsid w:val="2A987C8C"/>
    <w:rsid w:val="2A9D42EF"/>
    <w:rsid w:val="2ABA0422"/>
    <w:rsid w:val="2ACF6F19"/>
    <w:rsid w:val="2AD25790"/>
    <w:rsid w:val="2B2A15A7"/>
    <w:rsid w:val="2B582BC3"/>
    <w:rsid w:val="2B707558"/>
    <w:rsid w:val="2B7A6241"/>
    <w:rsid w:val="2B85115E"/>
    <w:rsid w:val="2B871927"/>
    <w:rsid w:val="2BE96EE2"/>
    <w:rsid w:val="2BE9742B"/>
    <w:rsid w:val="2C054633"/>
    <w:rsid w:val="2C4D6486"/>
    <w:rsid w:val="2C622583"/>
    <w:rsid w:val="2C6A5D5F"/>
    <w:rsid w:val="2C9F1142"/>
    <w:rsid w:val="2CBB64BA"/>
    <w:rsid w:val="2CDF2D4C"/>
    <w:rsid w:val="2CED1468"/>
    <w:rsid w:val="2D412995"/>
    <w:rsid w:val="2D530D3B"/>
    <w:rsid w:val="2D6361E8"/>
    <w:rsid w:val="2D891097"/>
    <w:rsid w:val="2DC10CEB"/>
    <w:rsid w:val="2DD87420"/>
    <w:rsid w:val="2E217480"/>
    <w:rsid w:val="2E2D62CC"/>
    <w:rsid w:val="2E642564"/>
    <w:rsid w:val="2E6965AF"/>
    <w:rsid w:val="2E7D39B5"/>
    <w:rsid w:val="2E886C93"/>
    <w:rsid w:val="2E985876"/>
    <w:rsid w:val="2EAA6483"/>
    <w:rsid w:val="2EC03392"/>
    <w:rsid w:val="2EDD0492"/>
    <w:rsid w:val="2F0C2467"/>
    <w:rsid w:val="2F19349E"/>
    <w:rsid w:val="2F30286C"/>
    <w:rsid w:val="2F486A21"/>
    <w:rsid w:val="2F5524F3"/>
    <w:rsid w:val="2F853C60"/>
    <w:rsid w:val="2F9A47B3"/>
    <w:rsid w:val="2FA41CB4"/>
    <w:rsid w:val="2FDC536F"/>
    <w:rsid w:val="30107FFC"/>
    <w:rsid w:val="303D3FE0"/>
    <w:rsid w:val="30457DD7"/>
    <w:rsid w:val="30754541"/>
    <w:rsid w:val="307A74A3"/>
    <w:rsid w:val="30AD58B4"/>
    <w:rsid w:val="30C234F1"/>
    <w:rsid w:val="31195147"/>
    <w:rsid w:val="311F03CC"/>
    <w:rsid w:val="312C277B"/>
    <w:rsid w:val="313643E8"/>
    <w:rsid w:val="3144226A"/>
    <w:rsid w:val="3156465E"/>
    <w:rsid w:val="315903DE"/>
    <w:rsid w:val="316110E2"/>
    <w:rsid w:val="318C3D0D"/>
    <w:rsid w:val="318C758B"/>
    <w:rsid w:val="31AF71BB"/>
    <w:rsid w:val="31BF1CE7"/>
    <w:rsid w:val="31C418AD"/>
    <w:rsid w:val="31F73F4E"/>
    <w:rsid w:val="32031731"/>
    <w:rsid w:val="320548FD"/>
    <w:rsid w:val="320C7F16"/>
    <w:rsid w:val="320E7D7A"/>
    <w:rsid w:val="321245DD"/>
    <w:rsid w:val="32186B88"/>
    <w:rsid w:val="322A20A0"/>
    <w:rsid w:val="323E3EBD"/>
    <w:rsid w:val="326163E4"/>
    <w:rsid w:val="32623BAD"/>
    <w:rsid w:val="326407CE"/>
    <w:rsid w:val="32716CDF"/>
    <w:rsid w:val="329262F5"/>
    <w:rsid w:val="32ED068F"/>
    <w:rsid w:val="32F80F5E"/>
    <w:rsid w:val="331A318D"/>
    <w:rsid w:val="3332657C"/>
    <w:rsid w:val="333A3D91"/>
    <w:rsid w:val="33661F45"/>
    <w:rsid w:val="33873BFD"/>
    <w:rsid w:val="33F17A93"/>
    <w:rsid w:val="33FF052B"/>
    <w:rsid w:val="341968DE"/>
    <w:rsid w:val="34243077"/>
    <w:rsid w:val="342D1862"/>
    <w:rsid w:val="342E0885"/>
    <w:rsid w:val="344512D5"/>
    <w:rsid w:val="34973323"/>
    <w:rsid w:val="34AB7E4C"/>
    <w:rsid w:val="34F13D0F"/>
    <w:rsid w:val="34F2030E"/>
    <w:rsid w:val="351C16D7"/>
    <w:rsid w:val="3529589C"/>
    <w:rsid w:val="354F2CF5"/>
    <w:rsid w:val="35796DE3"/>
    <w:rsid w:val="357A1AE9"/>
    <w:rsid w:val="35936092"/>
    <w:rsid w:val="35FC7C04"/>
    <w:rsid w:val="36036573"/>
    <w:rsid w:val="360E5BDF"/>
    <w:rsid w:val="36107343"/>
    <w:rsid w:val="361F5BC8"/>
    <w:rsid w:val="365353F4"/>
    <w:rsid w:val="36554CB2"/>
    <w:rsid w:val="36774BDA"/>
    <w:rsid w:val="368F491B"/>
    <w:rsid w:val="36A70AA9"/>
    <w:rsid w:val="36BE0416"/>
    <w:rsid w:val="36DD4381"/>
    <w:rsid w:val="371A52B0"/>
    <w:rsid w:val="373839FF"/>
    <w:rsid w:val="376632C8"/>
    <w:rsid w:val="377E143B"/>
    <w:rsid w:val="3790022C"/>
    <w:rsid w:val="3791072F"/>
    <w:rsid w:val="3799755F"/>
    <w:rsid w:val="37AA7A42"/>
    <w:rsid w:val="37AF72A6"/>
    <w:rsid w:val="381A3D2A"/>
    <w:rsid w:val="38284F93"/>
    <w:rsid w:val="3837684E"/>
    <w:rsid w:val="38620C6F"/>
    <w:rsid w:val="38D07289"/>
    <w:rsid w:val="38D96525"/>
    <w:rsid w:val="38DB3DF3"/>
    <w:rsid w:val="38FC643F"/>
    <w:rsid w:val="39C153F8"/>
    <w:rsid w:val="39C318E5"/>
    <w:rsid w:val="39E639FD"/>
    <w:rsid w:val="39F52574"/>
    <w:rsid w:val="3A0A1275"/>
    <w:rsid w:val="3A335BDF"/>
    <w:rsid w:val="3A53328A"/>
    <w:rsid w:val="3A626DC4"/>
    <w:rsid w:val="3A784584"/>
    <w:rsid w:val="3A8A2375"/>
    <w:rsid w:val="3AFB3ACC"/>
    <w:rsid w:val="3AFB5CCF"/>
    <w:rsid w:val="3B1E6121"/>
    <w:rsid w:val="3B972FDD"/>
    <w:rsid w:val="3B9C154D"/>
    <w:rsid w:val="3BEE34E6"/>
    <w:rsid w:val="3C1E3152"/>
    <w:rsid w:val="3C4618F3"/>
    <w:rsid w:val="3C5B3D62"/>
    <w:rsid w:val="3C863418"/>
    <w:rsid w:val="3C955226"/>
    <w:rsid w:val="3C9C21B5"/>
    <w:rsid w:val="3CC06750"/>
    <w:rsid w:val="3CC16B5B"/>
    <w:rsid w:val="3CE173BA"/>
    <w:rsid w:val="3CEF54C9"/>
    <w:rsid w:val="3D017B67"/>
    <w:rsid w:val="3D0565E1"/>
    <w:rsid w:val="3D0B02C3"/>
    <w:rsid w:val="3D32159C"/>
    <w:rsid w:val="3D405A5B"/>
    <w:rsid w:val="3D916F31"/>
    <w:rsid w:val="3DA50812"/>
    <w:rsid w:val="3DC0000F"/>
    <w:rsid w:val="3DFA70B1"/>
    <w:rsid w:val="3E1B2373"/>
    <w:rsid w:val="3E252D90"/>
    <w:rsid w:val="3E2C72F2"/>
    <w:rsid w:val="3E3503AD"/>
    <w:rsid w:val="3E401C26"/>
    <w:rsid w:val="3E6232FB"/>
    <w:rsid w:val="3E71594A"/>
    <w:rsid w:val="3E8421A1"/>
    <w:rsid w:val="3E940044"/>
    <w:rsid w:val="3E9C0B49"/>
    <w:rsid w:val="3EB858E7"/>
    <w:rsid w:val="3ED00EF8"/>
    <w:rsid w:val="3ED6292E"/>
    <w:rsid w:val="3F1062DD"/>
    <w:rsid w:val="3F553AC5"/>
    <w:rsid w:val="3F5C4E41"/>
    <w:rsid w:val="3F63642F"/>
    <w:rsid w:val="3FF21D91"/>
    <w:rsid w:val="402412A0"/>
    <w:rsid w:val="40365B19"/>
    <w:rsid w:val="40417AF7"/>
    <w:rsid w:val="40445139"/>
    <w:rsid w:val="404E7721"/>
    <w:rsid w:val="40563CEE"/>
    <w:rsid w:val="408525E7"/>
    <w:rsid w:val="409451ED"/>
    <w:rsid w:val="409F49E3"/>
    <w:rsid w:val="40C71885"/>
    <w:rsid w:val="40C879C9"/>
    <w:rsid w:val="410F2562"/>
    <w:rsid w:val="4127184D"/>
    <w:rsid w:val="41452797"/>
    <w:rsid w:val="41905BCB"/>
    <w:rsid w:val="41B721DB"/>
    <w:rsid w:val="41D67EC4"/>
    <w:rsid w:val="41E073BA"/>
    <w:rsid w:val="42B22E93"/>
    <w:rsid w:val="42C53C7F"/>
    <w:rsid w:val="42D4143D"/>
    <w:rsid w:val="42D7318A"/>
    <w:rsid w:val="42EE4AF1"/>
    <w:rsid w:val="42F50E99"/>
    <w:rsid w:val="42FF1E57"/>
    <w:rsid w:val="43025BC1"/>
    <w:rsid w:val="43697A3E"/>
    <w:rsid w:val="436C2EED"/>
    <w:rsid w:val="43BF6ACF"/>
    <w:rsid w:val="43F332C2"/>
    <w:rsid w:val="44056442"/>
    <w:rsid w:val="44096FB7"/>
    <w:rsid w:val="441D7941"/>
    <w:rsid w:val="442C48CC"/>
    <w:rsid w:val="443C58FF"/>
    <w:rsid w:val="443D2806"/>
    <w:rsid w:val="44C96249"/>
    <w:rsid w:val="452B6ABF"/>
    <w:rsid w:val="455A42F4"/>
    <w:rsid w:val="45714B0E"/>
    <w:rsid w:val="457744C3"/>
    <w:rsid w:val="459B1AFF"/>
    <w:rsid w:val="459E4631"/>
    <w:rsid w:val="45A02DFB"/>
    <w:rsid w:val="45AD1CD9"/>
    <w:rsid w:val="45B5141C"/>
    <w:rsid w:val="45D97854"/>
    <w:rsid w:val="45E05B2A"/>
    <w:rsid w:val="461A597E"/>
    <w:rsid w:val="462E1FEB"/>
    <w:rsid w:val="462F3984"/>
    <w:rsid w:val="464F7522"/>
    <w:rsid w:val="465954C3"/>
    <w:rsid w:val="46706EF9"/>
    <w:rsid w:val="46A850E1"/>
    <w:rsid w:val="46B11A55"/>
    <w:rsid w:val="46CE0A77"/>
    <w:rsid w:val="46D67450"/>
    <w:rsid w:val="46F34307"/>
    <w:rsid w:val="46FF4966"/>
    <w:rsid w:val="47163117"/>
    <w:rsid w:val="47313068"/>
    <w:rsid w:val="47531AED"/>
    <w:rsid w:val="475A3F0F"/>
    <w:rsid w:val="477960B4"/>
    <w:rsid w:val="477E38AA"/>
    <w:rsid w:val="47940279"/>
    <w:rsid w:val="47A643B6"/>
    <w:rsid w:val="47B921BB"/>
    <w:rsid w:val="47C10037"/>
    <w:rsid w:val="47F36111"/>
    <w:rsid w:val="48000550"/>
    <w:rsid w:val="481C7B7E"/>
    <w:rsid w:val="4829467A"/>
    <w:rsid w:val="4846592A"/>
    <w:rsid w:val="48885CAC"/>
    <w:rsid w:val="48A95668"/>
    <w:rsid w:val="48DA3C6A"/>
    <w:rsid w:val="493068E9"/>
    <w:rsid w:val="49330884"/>
    <w:rsid w:val="493754F2"/>
    <w:rsid w:val="495D1E19"/>
    <w:rsid w:val="4967231B"/>
    <w:rsid w:val="49761278"/>
    <w:rsid w:val="49B608B3"/>
    <w:rsid w:val="49C01F6C"/>
    <w:rsid w:val="49C55259"/>
    <w:rsid w:val="49D710A3"/>
    <w:rsid w:val="49D87C8E"/>
    <w:rsid w:val="49E12817"/>
    <w:rsid w:val="49F042BD"/>
    <w:rsid w:val="49F41DFF"/>
    <w:rsid w:val="4A096256"/>
    <w:rsid w:val="4A0D0701"/>
    <w:rsid w:val="4A0E006C"/>
    <w:rsid w:val="4A2230C6"/>
    <w:rsid w:val="4A2609A5"/>
    <w:rsid w:val="4A3F17CE"/>
    <w:rsid w:val="4A434FF9"/>
    <w:rsid w:val="4A4E22A0"/>
    <w:rsid w:val="4A6004E6"/>
    <w:rsid w:val="4A8801B1"/>
    <w:rsid w:val="4A8B2E07"/>
    <w:rsid w:val="4A931BE6"/>
    <w:rsid w:val="4A992C18"/>
    <w:rsid w:val="4AA76754"/>
    <w:rsid w:val="4AAE3EAA"/>
    <w:rsid w:val="4AB268C8"/>
    <w:rsid w:val="4ABA4B45"/>
    <w:rsid w:val="4ADE75CB"/>
    <w:rsid w:val="4B662E7F"/>
    <w:rsid w:val="4B762273"/>
    <w:rsid w:val="4B7F0D5F"/>
    <w:rsid w:val="4BAE2372"/>
    <w:rsid w:val="4C1C5FEC"/>
    <w:rsid w:val="4C4C70BA"/>
    <w:rsid w:val="4C604329"/>
    <w:rsid w:val="4C764C2A"/>
    <w:rsid w:val="4C7D4540"/>
    <w:rsid w:val="4CC10305"/>
    <w:rsid w:val="4CDC019C"/>
    <w:rsid w:val="4D094984"/>
    <w:rsid w:val="4D0C6FA8"/>
    <w:rsid w:val="4D18522D"/>
    <w:rsid w:val="4D325C4C"/>
    <w:rsid w:val="4D3A24A1"/>
    <w:rsid w:val="4D454128"/>
    <w:rsid w:val="4D4C210D"/>
    <w:rsid w:val="4D5C1E85"/>
    <w:rsid w:val="4D68568F"/>
    <w:rsid w:val="4D6B49AC"/>
    <w:rsid w:val="4D707679"/>
    <w:rsid w:val="4D8B32A1"/>
    <w:rsid w:val="4DAA78ED"/>
    <w:rsid w:val="4DBF7F30"/>
    <w:rsid w:val="4DC65934"/>
    <w:rsid w:val="4DEF3CAE"/>
    <w:rsid w:val="4DF2379A"/>
    <w:rsid w:val="4E3A5F11"/>
    <w:rsid w:val="4E3D3EAD"/>
    <w:rsid w:val="4E4202F9"/>
    <w:rsid w:val="4E4F36E9"/>
    <w:rsid w:val="4E7D5E76"/>
    <w:rsid w:val="4E860270"/>
    <w:rsid w:val="4E9A74C3"/>
    <w:rsid w:val="4EA460B6"/>
    <w:rsid w:val="4EAB35FB"/>
    <w:rsid w:val="4F2E69B5"/>
    <w:rsid w:val="4F702465"/>
    <w:rsid w:val="4F7B51A8"/>
    <w:rsid w:val="4F88140E"/>
    <w:rsid w:val="4FA86F6F"/>
    <w:rsid w:val="4FD50228"/>
    <w:rsid w:val="4FE032EE"/>
    <w:rsid w:val="4FE66979"/>
    <w:rsid w:val="500949D1"/>
    <w:rsid w:val="50340548"/>
    <w:rsid w:val="50467D70"/>
    <w:rsid w:val="504D422F"/>
    <w:rsid w:val="504F54E8"/>
    <w:rsid w:val="5053057E"/>
    <w:rsid w:val="50557E37"/>
    <w:rsid w:val="506D76E4"/>
    <w:rsid w:val="50D87238"/>
    <w:rsid w:val="50E40E24"/>
    <w:rsid w:val="50F44C33"/>
    <w:rsid w:val="510A159C"/>
    <w:rsid w:val="51275C70"/>
    <w:rsid w:val="5133095D"/>
    <w:rsid w:val="513537FC"/>
    <w:rsid w:val="51530A91"/>
    <w:rsid w:val="51A50254"/>
    <w:rsid w:val="51B27284"/>
    <w:rsid w:val="522B79F9"/>
    <w:rsid w:val="524403C6"/>
    <w:rsid w:val="525576D6"/>
    <w:rsid w:val="525F68B8"/>
    <w:rsid w:val="52647793"/>
    <w:rsid w:val="527B78B1"/>
    <w:rsid w:val="529821B0"/>
    <w:rsid w:val="52A1628D"/>
    <w:rsid w:val="52A84AC6"/>
    <w:rsid w:val="52C76D61"/>
    <w:rsid w:val="52D4071F"/>
    <w:rsid w:val="5321152D"/>
    <w:rsid w:val="535D08A1"/>
    <w:rsid w:val="53683632"/>
    <w:rsid w:val="53794171"/>
    <w:rsid w:val="53AF6AD9"/>
    <w:rsid w:val="53B21FFE"/>
    <w:rsid w:val="53F74C06"/>
    <w:rsid w:val="540E4FEF"/>
    <w:rsid w:val="540F51CB"/>
    <w:rsid w:val="542611D5"/>
    <w:rsid w:val="5439038D"/>
    <w:rsid w:val="544E44F1"/>
    <w:rsid w:val="54527DFF"/>
    <w:rsid w:val="546D53EC"/>
    <w:rsid w:val="54791A5F"/>
    <w:rsid w:val="54EA080B"/>
    <w:rsid w:val="54F12817"/>
    <w:rsid w:val="552105F0"/>
    <w:rsid w:val="555C15B5"/>
    <w:rsid w:val="5560511F"/>
    <w:rsid w:val="5572485F"/>
    <w:rsid w:val="55B66CD3"/>
    <w:rsid w:val="55CA4B6F"/>
    <w:rsid w:val="55E93E4A"/>
    <w:rsid w:val="55F07B8B"/>
    <w:rsid w:val="56466D91"/>
    <w:rsid w:val="56B1417E"/>
    <w:rsid w:val="56D04056"/>
    <w:rsid w:val="56EA6A9B"/>
    <w:rsid w:val="56ED641F"/>
    <w:rsid w:val="57025D47"/>
    <w:rsid w:val="571C6E66"/>
    <w:rsid w:val="572A0ABC"/>
    <w:rsid w:val="57644754"/>
    <w:rsid w:val="57963AB2"/>
    <w:rsid w:val="57E61525"/>
    <w:rsid w:val="58071857"/>
    <w:rsid w:val="58174D73"/>
    <w:rsid w:val="58282FA0"/>
    <w:rsid w:val="583B7F52"/>
    <w:rsid w:val="58453B08"/>
    <w:rsid w:val="58494BDE"/>
    <w:rsid w:val="586D166F"/>
    <w:rsid w:val="588D0694"/>
    <w:rsid w:val="58934432"/>
    <w:rsid w:val="589A2F0E"/>
    <w:rsid w:val="589F6CE7"/>
    <w:rsid w:val="58BB0BCB"/>
    <w:rsid w:val="58CC459F"/>
    <w:rsid w:val="58F71B5B"/>
    <w:rsid w:val="590069FA"/>
    <w:rsid w:val="5940687E"/>
    <w:rsid w:val="59446A6E"/>
    <w:rsid w:val="594A2C77"/>
    <w:rsid w:val="5974175E"/>
    <w:rsid w:val="599521E4"/>
    <w:rsid w:val="59C016BD"/>
    <w:rsid w:val="59CF0A56"/>
    <w:rsid w:val="59D94149"/>
    <w:rsid w:val="5A455CE0"/>
    <w:rsid w:val="5A967FD0"/>
    <w:rsid w:val="5AAA4326"/>
    <w:rsid w:val="5AB464E9"/>
    <w:rsid w:val="5AD428D5"/>
    <w:rsid w:val="5B081B8D"/>
    <w:rsid w:val="5B532DBE"/>
    <w:rsid w:val="5B5A3753"/>
    <w:rsid w:val="5B5A7DBB"/>
    <w:rsid w:val="5BAF7266"/>
    <w:rsid w:val="5BBE5AC4"/>
    <w:rsid w:val="5BEA0A08"/>
    <w:rsid w:val="5BEE7694"/>
    <w:rsid w:val="5BF919A5"/>
    <w:rsid w:val="5C061C24"/>
    <w:rsid w:val="5C18040D"/>
    <w:rsid w:val="5C3C3A58"/>
    <w:rsid w:val="5C44482B"/>
    <w:rsid w:val="5C4C1B5C"/>
    <w:rsid w:val="5C4E0A0D"/>
    <w:rsid w:val="5C5F21CE"/>
    <w:rsid w:val="5C7435EE"/>
    <w:rsid w:val="5C7C68E0"/>
    <w:rsid w:val="5C842204"/>
    <w:rsid w:val="5C8A103C"/>
    <w:rsid w:val="5CAE5661"/>
    <w:rsid w:val="5CB8426D"/>
    <w:rsid w:val="5CBD6A81"/>
    <w:rsid w:val="5CCB31D7"/>
    <w:rsid w:val="5D2F2658"/>
    <w:rsid w:val="5D81562A"/>
    <w:rsid w:val="5D963739"/>
    <w:rsid w:val="5D97714F"/>
    <w:rsid w:val="5D981308"/>
    <w:rsid w:val="5D9F0BAF"/>
    <w:rsid w:val="5DA4004E"/>
    <w:rsid w:val="5DAF7CE0"/>
    <w:rsid w:val="5DC71DC8"/>
    <w:rsid w:val="5DD91A71"/>
    <w:rsid w:val="5DEB3F92"/>
    <w:rsid w:val="5E0244C7"/>
    <w:rsid w:val="5E3F2D8E"/>
    <w:rsid w:val="5E560DF0"/>
    <w:rsid w:val="5E654380"/>
    <w:rsid w:val="5E77682E"/>
    <w:rsid w:val="5ECB2CB0"/>
    <w:rsid w:val="5ECD62EC"/>
    <w:rsid w:val="5F1A1482"/>
    <w:rsid w:val="5F224B98"/>
    <w:rsid w:val="5F404FBF"/>
    <w:rsid w:val="5F821795"/>
    <w:rsid w:val="5F974D3B"/>
    <w:rsid w:val="5FBF3F83"/>
    <w:rsid w:val="5FC82BBA"/>
    <w:rsid w:val="5FCD02B5"/>
    <w:rsid w:val="5FFF7E5E"/>
    <w:rsid w:val="601B51D2"/>
    <w:rsid w:val="607106B7"/>
    <w:rsid w:val="60B950E8"/>
    <w:rsid w:val="60D657DA"/>
    <w:rsid w:val="61343027"/>
    <w:rsid w:val="6134413A"/>
    <w:rsid w:val="617712E7"/>
    <w:rsid w:val="618F1C41"/>
    <w:rsid w:val="61B8094A"/>
    <w:rsid w:val="61E3619D"/>
    <w:rsid w:val="61F4208B"/>
    <w:rsid w:val="6258258C"/>
    <w:rsid w:val="62671D18"/>
    <w:rsid w:val="62B26F6F"/>
    <w:rsid w:val="62C426CC"/>
    <w:rsid w:val="62C50B3E"/>
    <w:rsid w:val="62CE5C2F"/>
    <w:rsid w:val="62F02700"/>
    <w:rsid w:val="631B7557"/>
    <w:rsid w:val="63311A61"/>
    <w:rsid w:val="634D497B"/>
    <w:rsid w:val="63594E93"/>
    <w:rsid w:val="63696E71"/>
    <w:rsid w:val="638B439F"/>
    <w:rsid w:val="63C25466"/>
    <w:rsid w:val="640939CE"/>
    <w:rsid w:val="6416122B"/>
    <w:rsid w:val="644D5AAD"/>
    <w:rsid w:val="648364DB"/>
    <w:rsid w:val="64C65806"/>
    <w:rsid w:val="64E0497F"/>
    <w:rsid w:val="650D1439"/>
    <w:rsid w:val="650D42A7"/>
    <w:rsid w:val="65105E83"/>
    <w:rsid w:val="65157797"/>
    <w:rsid w:val="651E6B74"/>
    <w:rsid w:val="652D2D05"/>
    <w:rsid w:val="652F7E36"/>
    <w:rsid w:val="657E6D99"/>
    <w:rsid w:val="65850FDC"/>
    <w:rsid w:val="65907D8A"/>
    <w:rsid w:val="659F3BEC"/>
    <w:rsid w:val="65A33D56"/>
    <w:rsid w:val="65A73442"/>
    <w:rsid w:val="65EF6822"/>
    <w:rsid w:val="66064DED"/>
    <w:rsid w:val="66277FE9"/>
    <w:rsid w:val="663D4236"/>
    <w:rsid w:val="66503DAB"/>
    <w:rsid w:val="66574611"/>
    <w:rsid w:val="66650452"/>
    <w:rsid w:val="6680632C"/>
    <w:rsid w:val="66826C62"/>
    <w:rsid w:val="66883FED"/>
    <w:rsid w:val="66945F8F"/>
    <w:rsid w:val="66B52320"/>
    <w:rsid w:val="66DA0C3E"/>
    <w:rsid w:val="672702A7"/>
    <w:rsid w:val="67441058"/>
    <w:rsid w:val="67531853"/>
    <w:rsid w:val="6760307B"/>
    <w:rsid w:val="67820C80"/>
    <w:rsid w:val="67AA5B9C"/>
    <w:rsid w:val="67BF0AE1"/>
    <w:rsid w:val="67D51C0A"/>
    <w:rsid w:val="67E66373"/>
    <w:rsid w:val="67FB791F"/>
    <w:rsid w:val="68071821"/>
    <w:rsid w:val="681C5D6E"/>
    <w:rsid w:val="68382EFC"/>
    <w:rsid w:val="68382FC1"/>
    <w:rsid w:val="683B7ACC"/>
    <w:rsid w:val="68452760"/>
    <w:rsid w:val="6860242E"/>
    <w:rsid w:val="68640703"/>
    <w:rsid w:val="68751722"/>
    <w:rsid w:val="68917066"/>
    <w:rsid w:val="68C96847"/>
    <w:rsid w:val="68E83A31"/>
    <w:rsid w:val="68E9257C"/>
    <w:rsid w:val="690C22A5"/>
    <w:rsid w:val="693B6C5A"/>
    <w:rsid w:val="69416719"/>
    <w:rsid w:val="6943584F"/>
    <w:rsid w:val="6958111F"/>
    <w:rsid w:val="695E25AF"/>
    <w:rsid w:val="696D6071"/>
    <w:rsid w:val="6978267F"/>
    <w:rsid w:val="69803ED8"/>
    <w:rsid w:val="6992695A"/>
    <w:rsid w:val="69A07B64"/>
    <w:rsid w:val="69DE4703"/>
    <w:rsid w:val="69FF522C"/>
    <w:rsid w:val="6A130451"/>
    <w:rsid w:val="6A204088"/>
    <w:rsid w:val="6A4850A0"/>
    <w:rsid w:val="6A487FA3"/>
    <w:rsid w:val="6A53229B"/>
    <w:rsid w:val="6A691E63"/>
    <w:rsid w:val="6A8372B8"/>
    <w:rsid w:val="6A891244"/>
    <w:rsid w:val="6AB34447"/>
    <w:rsid w:val="6AB5328E"/>
    <w:rsid w:val="6AF33446"/>
    <w:rsid w:val="6B263250"/>
    <w:rsid w:val="6B3C0CAB"/>
    <w:rsid w:val="6B491268"/>
    <w:rsid w:val="6B56579C"/>
    <w:rsid w:val="6B652B94"/>
    <w:rsid w:val="6B846B44"/>
    <w:rsid w:val="6BA37E8B"/>
    <w:rsid w:val="6BAA5ABD"/>
    <w:rsid w:val="6BCA1221"/>
    <w:rsid w:val="6BF436B5"/>
    <w:rsid w:val="6C04620B"/>
    <w:rsid w:val="6C242306"/>
    <w:rsid w:val="6C28613C"/>
    <w:rsid w:val="6C2B4EC1"/>
    <w:rsid w:val="6C342E84"/>
    <w:rsid w:val="6C7A4C56"/>
    <w:rsid w:val="6CA22ECA"/>
    <w:rsid w:val="6CA94A2F"/>
    <w:rsid w:val="6CAD0170"/>
    <w:rsid w:val="6CFC5F70"/>
    <w:rsid w:val="6D093028"/>
    <w:rsid w:val="6D096919"/>
    <w:rsid w:val="6D4D0ADF"/>
    <w:rsid w:val="6D713C2A"/>
    <w:rsid w:val="6D7A4C98"/>
    <w:rsid w:val="6D910C69"/>
    <w:rsid w:val="6D947005"/>
    <w:rsid w:val="6DB150E4"/>
    <w:rsid w:val="6DB36780"/>
    <w:rsid w:val="6DBD333B"/>
    <w:rsid w:val="6DF3482A"/>
    <w:rsid w:val="6E041271"/>
    <w:rsid w:val="6E384FA9"/>
    <w:rsid w:val="6E6D64B2"/>
    <w:rsid w:val="6E77397D"/>
    <w:rsid w:val="6E864EC2"/>
    <w:rsid w:val="6E8E2840"/>
    <w:rsid w:val="6E9921D0"/>
    <w:rsid w:val="6EA94273"/>
    <w:rsid w:val="6EAD5BFF"/>
    <w:rsid w:val="6EB011DD"/>
    <w:rsid w:val="6ECD5EF8"/>
    <w:rsid w:val="6EE94266"/>
    <w:rsid w:val="6EEA04E0"/>
    <w:rsid w:val="6EF33E47"/>
    <w:rsid w:val="6EFF7723"/>
    <w:rsid w:val="6F6C2D36"/>
    <w:rsid w:val="6F6D0E8A"/>
    <w:rsid w:val="6F920733"/>
    <w:rsid w:val="6FBA31F4"/>
    <w:rsid w:val="6FCF4C3A"/>
    <w:rsid w:val="6FD50AC1"/>
    <w:rsid w:val="6FD779BE"/>
    <w:rsid w:val="6FF16010"/>
    <w:rsid w:val="70171905"/>
    <w:rsid w:val="701B3621"/>
    <w:rsid w:val="701F58BD"/>
    <w:rsid w:val="70266667"/>
    <w:rsid w:val="70317048"/>
    <w:rsid w:val="704C0A64"/>
    <w:rsid w:val="705A715D"/>
    <w:rsid w:val="708D2F06"/>
    <w:rsid w:val="7093618D"/>
    <w:rsid w:val="709C79E3"/>
    <w:rsid w:val="70AB47AB"/>
    <w:rsid w:val="70D42A8B"/>
    <w:rsid w:val="70E02BA7"/>
    <w:rsid w:val="70E4332B"/>
    <w:rsid w:val="70EF0F9D"/>
    <w:rsid w:val="711D5730"/>
    <w:rsid w:val="71616632"/>
    <w:rsid w:val="71670601"/>
    <w:rsid w:val="7171611F"/>
    <w:rsid w:val="717E1A95"/>
    <w:rsid w:val="718B4B8B"/>
    <w:rsid w:val="71E52AF6"/>
    <w:rsid w:val="71ED5C6C"/>
    <w:rsid w:val="72055008"/>
    <w:rsid w:val="724B3E6F"/>
    <w:rsid w:val="724D6107"/>
    <w:rsid w:val="72602399"/>
    <w:rsid w:val="72606370"/>
    <w:rsid w:val="728D6857"/>
    <w:rsid w:val="729A06FC"/>
    <w:rsid w:val="72AA16EF"/>
    <w:rsid w:val="72B86CAE"/>
    <w:rsid w:val="72F14D9B"/>
    <w:rsid w:val="73026CE0"/>
    <w:rsid w:val="730E2673"/>
    <w:rsid w:val="73117DE6"/>
    <w:rsid w:val="732B424A"/>
    <w:rsid w:val="7338614A"/>
    <w:rsid w:val="73566695"/>
    <w:rsid w:val="73577654"/>
    <w:rsid w:val="73591A33"/>
    <w:rsid w:val="735B73D6"/>
    <w:rsid w:val="7376080B"/>
    <w:rsid w:val="737E7E2A"/>
    <w:rsid w:val="7380308D"/>
    <w:rsid w:val="73803997"/>
    <w:rsid w:val="73920821"/>
    <w:rsid w:val="73A77592"/>
    <w:rsid w:val="73AE6771"/>
    <w:rsid w:val="73B177E8"/>
    <w:rsid w:val="73C0273E"/>
    <w:rsid w:val="73C14EA7"/>
    <w:rsid w:val="74216378"/>
    <w:rsid w:val="74274CC3"/>
    <w:rsid w:val="74302522"/>
    <w:rsid w:val="745A445F"/>
    <w:rsid w:val="74A059F0"/>
    <w:rsid w:val="74A65036"/>
    <w:rsid w:val="74AB2EC2"/>
    <w:rsid w:val="74BE7CCD"/>
    <w:rsid w:val="74F77CCB"/>
    <w:rsid w:val="751365E8"/>
    <w:rsid w:val="752135BA"/>
    <w:rsid w:val="753F5AD8"/>
    <w:rsid w:val="754C28B9"/>
    <w:rsid w:val="754F4B1B"/>
    <w:rsid w:val="755F431B"/>
    <w:rsid w:val="75656838"/>
    <w:rsid w:val="756E4573"/>
    <w:rsid w:val="75837A02"/>
    <w:rsid w:val="75A77240"/>
    <w:rsid w:val="75C7498B"/>
    <w:rsid w:val="75EC7BD6"/>
    <w:rsid w:val="75FF34E3"/>
    <w:rsid w:val="76003F58"/>
    <w:rsid w:val="760D7188"/>
    <w:rsid w:val="763043BD"/>
    <w:rsid w:val="76CC05BC"/>
    <w:rsid w:val="76FF062A"/>
    <w:rsid w:val="771C47E0"/>
    <w:rsid w:val="77401DBE"/>
    <w:rsid w:val="774623B4"/>
    <w:rsid w:val="775D462A"/>
    <w:rsid w:val="77BC715A"/>
    <w:rsid w:val="77C618FA"/>
    <w:rsid w:val="77CD6748"/>
    <w:rsid w:val="77CE04D3"/>
    <w:rsid w:val="77D074F9"/>
    <w:rsid w:val="77DB59D7"/>
    <w:rsid w:val="781B599B"/>
    <w:rsid w:val="781F2CF6"/>
    <w:rsid w:val="78394ABC"/>
    <w:rsid w:val="783A27AF"/>
    <w:rsid w:val="78407A40"/>
    <w:rsid w:val="78461C98"/>
    <w:rsid w:val="787113E2"/>
    <w:rsid w:val="789A3D9A"/>
    <w:rsid w:val="78A80FA5"/>
    <w:rsid w:val="78B119AA"/>
    <w:rsid w:val="78C01E7B"/>
    <w:rsid w:val="7919188A"/>
    <w:rsid w:val="794B3738"/>
    <w:rsid w:val="7976109D"/>
    <w:rsid w:val="79833E8A"/>
    <w:rsid w:val="79863B2F"/>
    <w:rsid w:val="798C7733"/>
    <w:rsid w:val="799737FC"/>
    <w:rsid w:val="79993092"/>
    <w:rsid w:val="79AB4341"/>
    <w:rsid w:val="79AB5708"/>
    <w:rsid w:val="79B96828"/>
    <w:rsid w:val="79BD2DE5"/>
    <w:rsid w:val="79D90E92"/>
    <w:rsid w:val="79DD7865"/>
    <w:rsid w:val="7A1F5CD9"/>
    <w:rsid w:val="7A236D66"/>
    <w:rsid w:val="7A4E4E9E"/>
    <w:rsid w:val="7A4F4C88"/>
    <w:rsid w:val="7A5204CA"/>
    <w:rsid w:val="7A600E2A"/>
    <w:rsid w:val="7A687405"/>
    <w:rsid w:val="7A9B57C8"/>
    <w:rsid w:val="7AAB1011"/>
    <w:rsid w:val="7AAC255C"/>
    <w:rsid w:val="7AD80589"/>
    <w:rsid w:val="7B033B71"/>
    <w:rsid w:val="7B393F70"/>
    <w:rsid w:val="7B415A25"/>
    <w:rsid w:val="7B6E4871"/>
    <w:rsid w:val="7B6F0B67"/>
    <w:rsid w:val="7B746919"/>
    <w:rsid w:val="7B7B5BEA"/>
    <w:rsid w:val="7BC75BBC"/>
    <w:rsid w:val="7C000DFC"/>
    <w:rsid w:val="7C0D7053"/>
    <w:rsid w:val="7C1C5764"/>
    <w:rsid w:val="7C1E20D1"/>
    <w:rsid w:val="7C3D4FB9"/>
    <w:rsid w:val="7C6723E4"/>
    <w:rsid w:val="7C8A44C6"/>
    <w:rsid w:val="7C8C2DBA"/>
    <w:rsid w:val="7CBA4390"/>
    <w:rsid w:val="7CE80252"/>
    <w:rsid w:val="7CEF3BCD"/>
    <w:rsid w:val="7D0D0254"/>
    <w:rsid w:val="7D18416C"/>
    <w:rsid w:val="7D186B1B"/>
    <w:rsid w:val="7D320F6F"/>
    <w:rsid w:val="7D3D7448"/>
    <w:rsid w:val="7D501433"/>
    <w:rsid w:val="7D6E0A85"/>
    <w:rsid w:val="7D882B97"/>
    <w:rsid w:val="7DDF3C08"/>
    <w:rsid w:val="7DEF193D"/>
    <w:rsid w:val="7DF21BEE"/>
    <w:rsid w:val="7DFB6D93"/>
    <w:rsid w:val="7E2B485F"/>
    <w:rsid w:val="7E5D6508"/>
    <w:rsid w:val="7E6B11A3"/>
    <w:rsid w:val="7E6F5C57"/>
    <w:rsid w:val="7E731F7F"/>
    <w:rsid w:val="7EA9580E"/>
    <w:rsid w:val="7EAB585F"/>
    <w:rsid w:val="7EEE21C1"/>
    <w:rsid w:val="7F073073"/>
    <w:rsid w:val="7F0D5649"/>
    <w:rsid w:val="7F2A164C"/>
    <w:rsid w:val="7F56420A"/>
    <w:rsid w:val="7F5D3326"/>
    <w:rsid w:val="7F7731D8"/>
    <w:rsid w:val="7F7C07D2"/>
    <w:rsid w:val="7F8E6794"/>
    <w:rsid w:val="7F8F5D87"/>
    <w:rsid w:val="7F987CF4"/>
    <w:rsid w:val="7FA81BA2"/>
    <w:rsid w:val="7FB43CE3"/>
    <w:rsid w:val="7FC508D1"/>
    <w:rsid w:val="7FEE1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qFormat/>
    <w:uiPriority w:val="0"/>
    <w:pPr>
      <w:keepNext/>
      <w:keepLines/>
      <w:spacing w:before="280" w:after="290" w:line="376" w:lineRule="atLeast"/>
      <w:outlineLvl w:val="3"/>
    </w:pPr>
    <w:rPr>
      <w:rFonts w:ascii="Arial" w:hAnsi="Arial" w:eastAsia="黑体"/>
      <w:b/>
      <w:sz w:val="28"/>
    </w:rPr>
  </w:style>
  <w:style w:type="character" w:default="1" w:styleId="14">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Heading4"/>
    <w:basedOn w:val="1"/>
    <w:next w:val="1"/>
    <w:qFormat/>
    <w:uiPriority w:val="99"/>
    <w:pPr>
      <w:spacing w:line="400" w:lineRule="exact"/>
    </w:pPr>
    <w:rPr>
      <w:szCs w:val="28"/>
    </w:rPr>
  </w:style>
  <w:style w:type="paragraph" w:styleId="6">
    <w:name w:val="Body Text"/>
    <w:basedOn w:val="1"/>
    <w:qFormat/>
    <w:uiPriority w:val="0"/>
    <w:pPr>
      <w:spacing w:after="120"/>
      <w:ind w:firstLine="200" w:firstLineChars="200"/>
    </w:pPr>
    <w:rPr>
      <w:rFonts w:hint="eastAsia" w:ascii="宋体" w:hAnsi="宋体"/>
    </w:rPr>
  </w:style>
  <w:style w:type="paragraph" w:styleId="7">
    <w:name w:val="Plain Text"/>
    <w:basedOn w:val="1"/>
    <w:qFormat/>
    <w:uiPriority w:val="0"/>
    <w:rPr>
      <w:rFonts w:ascii="宋体" w:hAnsi="Courier New"/>
      <w:szCs w:val="20"/>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link w:val="24"/>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1">
    <w:name w:val="Normal (Web)"/>
    <w:basedOn w:val="1"/>
    <w:qFormat/>
    <w:uiPriority w:val="0"/>
    <w:pPr>
      <w:spacing w:before="100" w:beforeAutospacing="1" w:after="100" w:afterAutospacing="1"/>
      <w:jc w:val="left"/>
    </w:pPr>
    <w:rPr>
      <w:kern w:val="0"/>
      <w:sz w:val="24"/>
    </w:rPr>
  </w:style>
  <w:style w:type="table" w:styleId="13">
    <w:name w:val="Table Grid"/>
    <w:basedOn w:val="12"/>
    <w:qFormat/>
    <w:uiPriority w:val="0"/>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rPr>
  </w:style>
  <w:style w:type="character" w:styleId="16">
    <w:name w:val="Hyperlink"/>
    <w:qFormat/>
    <w:uiPriority w:val="0"/>
    <w:rPr>
      <w:color w:val="0000FF"/>
      <w:u w:val="single"/>
    </w:rPr>
  </w:style>
  <w:style w:type="paragraph" w:customStyle="1" w:styleId="17">
    <w:name w:val="章标题"/>
    <w:next w:val="18"/>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8">
    <w:name w:val="段"/>
    <w:link w:val="2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9">
    <w:name w:val="一级条标题"/>
    <w:next w:val="18"/>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0">
    <w:name w:val="二级条标题"/>
    <w:basedOn w:val="19"/>
    <w:next w:val="18"/>
    <w:qFormat/>
    <w:uiPriority w:val="0"/>
    <w:pPr>
      <w:numPr>
        <w:ilvl w:val="2"/>
      </w:numPr>
      <w:spacing w:before="50" w:after="50"/>
      <w:outlineLvl w:val="3"/>
    </w:pPr>
  </w:style>
  <w:style w:type="paragraph" w:customStyle="1" w:styleId="21">
    <w:name w:val="四级条标题"/>
    <w:basedOn w:val="22"/>
    <w:next w:val="18"/>
    <w:qFormat/>
    <w:uiPriority w:val="0"/>
    <w:pPr>
      <w:numPr>
        <w:ilvl w:val="4"/>
      </w:numPr>
      <w:outlineLvl w:val="5"/>
    </w:pPr>
  </w:style>
  <w:style w:type="paragraph" w:customStyle="1" w:styleId="22">
    <w:name w:val="三级条标题"/>
    <w:basedOn w:val="20"/>
    <w:next w:val="18"/>
    <w:qFormat/>
    <w:uiPriority w:val="0"/>
    <w:pPr>
      <w:numPr>
        <w:ilvl w:val="3"/>
      </w:numPr>
      <w:outlineLvl w:val="4"/>
    </w:pPr>
  </w:style>
  <w:style w:type="paragraph" w:customStyle="1" w:styleId="23">
    <w:name w:val="五级条标题"/>
    <w:basedOn w:val="21"/>
    <w:next w:val="18"/>
    <w:qFormat/>
    <w:uiPriority w:val="0"/>
    <w:pPr>
      <w:numPr>
        <w:ilvl w:val="5"/>
      </w:numPr>
      <w:outlineLvl w:val="6"/>
    </w:pPr>
  </w:style>
  <w:style w:type="character" w:customStyle="1" w:styleId="24">
    <w:name w:val="HTML 预设格式 Char"/>
    <w:link w:val="10"/>
    <w:qFormat/>
    <w:uiPriority w:val="99"/>
    <w:rPr>
      <w:rFonts w:ascii="宋体" w:hAnsi="宋体" w:cs="宋体"/>
      <w:sz w:val="24"/>
      <w:szCs w:val="24"/>
    </w:rPr>
  </w:style>
  <w:style w:type="character" w:customStyle="1" w:styleId="25">
    <w:name w:val="段 Char"/>
    <w:link w:val="18"/>
    <w:qFormat/>
    <w:uiPriority w:val="0"/>
    <w:rPr>
      <w:rFonts w:ascii="宋体"/>
      <w:sz w:val="21"/>
      <w:lang w:val="en-US" w:eastAsia="zh-CN" w:bidi="ar-SA"/>
    </w:rPr>
  </w:style>
  <w:style w:type="paragraph" w:customStyle="1" w:styleId="26">
    <w:name w:val="列项◆（三级）"/>
    <w:basedOn w:val="1"/>
    <w:qFormat/>
    <w:uiPriority w:val="0"/>
    <w:pPr>
      <w:numPr>
        <w:ilvl w:val="2"/>
        <w:numId w:val="2"/>
      </w:numPr>
    </w:pPr>
    <w:rPr>
      <w:rFonts w:ascii="宋体"/>
      <w:szCs w:val="21"/>
    </w:rPr>
  </w:style>
  <w:style w:type="paragraph" w:customStyle="1" w:styleId="27">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28">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9">
    <w:name w:val="Char1"/>
    <w:basedOn w:val="1"/>
    <w:qFormat/>
    <w:uiPriority w:val="0"/>
    <w:pPr>
      <w:widowControl/>
      <w:spacing w:after="160" w:line="240" w:lineRule="exact"/>
      <w:jc w:val="left"/>
    </w:pPr>
    <w:rPr>
      <w:rFonts w:ascii="Verdana" w:hAnsi="Verdana"/>
      <w:kern w:val="0"/>
      <w:sz w:val="18"/>
      <w:szCs w:val="20"/>
      <w:lang w:eastAsia="en-US"/>
    </w:rPr>
  </w:style>
  <w:style w:type="paragraph" w:customStyle="1" w:styleId="3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1">
    <w:name w:val="正文表标题"/>
    <w:next w:val="18"/>
    <w:qFormat/>
    <w:uiPriority w:val="0"/>
    <w:pPr>
      <w:numPr>
        <w:ilvl w:val="0"/>
        <w:numId w:val="3"/>
      </w:numPr>
      <w:spacing w:before="156" w:beforeLines="50" w:after="156" w:afterLines="50"/>
      <w:jc w:val="center"/>
    </w:pPr>
    <w:rPr>
      <w:rFonts w:ascii="黑体" w:hAnsi="Times New Roman" w:eastAsia="黑体" w:cs="Times New Roman"/>
      <w:sz w:val="21"/>
      <w:lang w:val="en-US" w:eastAsia="zh-CN" w:bidi="ar-SA"/>
    </w:rPr>
  </w:style>
  <w:style w:type="paragraph" w:customStyle="1" w:styleId="32">
    <w:name w:val="列项——（一级）"/>
    <w:qFormat/>
    <w:uiPriority w:val="0"/>
    <w:pPr>
      <w:widowControl w:val="0"/>
      <w:numPr>
        <w:ilvl w:val="0"/>
        <w:numId w:val="2"/>
      </w:numPr>
      <w:jc w:val="both"/>
    </w:pPr>
    <w:rPr>
      <w:rFonts w:ascii="宋体" w:hAnsi="Times New Roman" w:eastAsia="宋体" w:cs="Times New Roman"/>
      <w:sz w:val="21"/>
      <w:lang w:val="en-US" w:eastAsia="zh-CN" w:bidi="ar-SA"/>
    </w:rPr>
  </w:style>
  <w:style w:type="paragraph" w:customStyle="1" w:styleId="33">
    <w:name w:val="列项●（二级）"/>
    <w:qFormat/>
    <w:uiPriority w:val="0"/>
    <w:pPr>
      <w:numPr>
        <w:ilvl w:val="1"/>
        <w:numId w:val="2"/>
      </w:numPr>
      <w:tabs>
        <w:tab w:val="left" w:pos="840"/>
      </w:tabs>
      <w:jc w:val="both"/>
    </w:pPr>
    <w:rPr>
      <w:rFonts w:ascii="宋体" w:hAnsi="Times New Roman" w:eastAsia="宋体" w:cs="Times New Roman"/>
      <w:sz w:val="21"/>
      <w:lang w:val="en-US" w:eastAsia="zh-CN" w:bidi="ar-SA"/>
    </w:rPr>
  </w:style>
  <w:style w:type="paragraph" w:customStyle="1" w:styleId="34">
    <w:name w:val="_Style 29"/>
    <w:unhideWhenUsed/>
    <w:qFormat/>
    <w:uiPriority w:val="99"/>
    <w:rPr>
      <w:rFonts w:ascii="Times New Roman" w:hAnsi="Times New Roman" w:eastAsia="宋体" w:cs="Times New Roman"/>
      <w:kern w:val="2"/>
      <w:sz w:val="21"/>
      <w:szCs w:val="24"/>
      <w:lang w:val="en-US" w:eastAsia="zh-CN" w:bidi="ar-SA"/>
    </w:rPr>
  </w:style>
  <w:style w:type="paragraph" w:styleId="35">
    <w:name w:val="List Paragraph"/>
    <w:basedOn w:val="1"/>
    <w:qFormat/>
    <w:uiPriority w:val="0"/>
    <w:pPr>
      <w:ind w:firstLine="420" w:firstLineChars="200"/>
    </w:pPr>
    <w:rPr>
      <w:rFonts w:ascii="Calibri" w:hAnsi="Calibri"/>
      <w:szCs w:val="22"/>
    </w:rPr>
  </w:style>
  <w:style w:type="character" w:customStyle="1" w:styleId="36">
    <w:name w:val="font41"/>
    <w:basedOn w:val="14"/>
    <w:qFormat/>
    <w:uiPriority w:val="0"/>
    <w:rPr>
      <w:rFonts w:hint="default" w:ascii="Arial Narrow" w:hAnsi="Arial Narrow" w:eastAsia="Arial Narrow" w:cs="Arial Narrow"/>
      <w:color w:val="000000"/>
      <w:sz w:val="22"/>
      <w:szCs w:val="22"/>
      <w:u w:val="none"/>
    </w:rPr>
  </w:style>
  <w:style w:type="paragraph" w:customStyle="1" w:styleId="37">
    <w:name w:val="正文2"/>
    <w:basedOn w:val="1"/>
    <w:qFormat/>
    <w:uiPriority w:val="0"/>
    <w:pPr>
      <w:keepNext w:val="0"/>
      <w:keepLines w:val="0"/>
      <w:widowControl/>
      <w:suppressLineNumbers w:val="0"/>
      <w:spacing w:before="0" w:beforeAutospacing="0" w:after="0" w:afterAutospacing="0"/>
      <w:ind w:left="0" w:right="0"/>
      <w:jc w:val="both"/>
    </w:pPr>
    <w:rPr>
      <w:rFonts w:hint="default" w:ascii="Times New Roman" w:hAnsi="Times New Roman" w:eastAsia="宋体" w:cs="Times New Roman"/>
      <w:kern w:val="2"/>
      <w:sz w:val="21"/>
      <w:szCs w:val="21"/>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6489444878812"/>
          <c:y val="0.0598523124757093"/>
          <c:w val="0.76034401876466"/>
          <c:h val="0.844617178390983"/>
        </c:manualLayout>
      </c:layout>
      <c:barChart>
        <c:barDir val="col"/>
        <c:grouping val="clustered"/>
        <c:varyColors val="0"/>
        <c:ser>
          <c:idx val="0"/>
          <c:order val="0"/>
          <c:tx>
            <c:strRef>
              <c:f>Sheet1!$B$1</c:f>
              <c:strCache>
                <c:ptCount val="1"/>
                <c:pt idx="0">
                  <c:v>指标合格率</c:v>
                </c:pt>
              </c:strCache>
            </c:strRef>
          </c:tx>
          <c:spPr>
            <a:solidFill>
              <a:schemeClr val="accent1"/>
            </a:solidFill>
            <a:ln>
              <a:noFill/>
            </a:ln>
            <a:effectLst/>
          </c:spPr>
          <c:invertIfNegative val="0"/>
          <c:dLbls>
            <c:delete val="1"/>
          </c:dLbls>
          <c:cat>
            <c:strRef>
              <c:f>Sheet1!$A$2:$A$6</c:f>
              <c:strCache>
                <c:ptCount val="5"/>
                <c:pt idx="0">
                  <c:v>SiO2</c:v>
                </c:pt>
                <c:pt idx="1">
                  <c:v>MgO</c:v>
                </c:pt>
                <c:pt idx="2">
                  <c:v>Al2O3</c:v>
                </c:pt>
                <c:pt idx="3">
                  <c:v>水分</c:v>
                </c:pt>
                <c:pt idx="4">
                  <c:v>白度</c:v>
                </c:pt>
              </c:strCache>
            </c:strRef>
          </c:cat>
          <c:val>
            <c:numRef>
              <c:f>Sheet1!$B$2:$B$6</c:f>
              <c:numCache>
                <c:formatCode>0.00%</c:formatCode>
                <c:ptCount val="5"/>
                <c:pt idx="0">
                  <c:v>0.9</c:v>
                </c:pt>
                <c:pt idx="1">
                  <c:v>0.8</c:v>
                </c:pt>
                <c:pt idx="2">
                  <c:v>0.9</c:v>
                </c:pt>
                <c:pt idx="3" c:formatCode="0%">
                  <c:v>0.8</c:v>
                </c:pt>
                <c:pt idx="4" c:formatCode="0%">
                  <c:v>0.8</c:v>
                </c:pt>
              </c:numCache>
            </c:numRef>
          </c:val>
        </c:ser>
        <c:dLbls>
          <c:showLegendKey val="0"/>
          <c:showVal val="0"/>
          <c:showCatName val="0"/>
          <c:showSerName val="0"/>
          <c:showPercent val="0"/>
          <c:showBubbleSize val="0"/>
        </c:dLbls>
        <c:gapWidth val="219"/>
        <c:overlap val="-27"/>
        <c:axId val="967441763"/>
        <c:axId val="78634439"/>
      </c:barChart>
      <c:dateAx>
        <c:axId val="967441763"/>
        <c:scaling>
          <c:orientation val="minMax"/>
        </c:scaling>
        <c:delete val="0"/>
        <c:axPos val="b"/>
        <c:numFmt formatCode="#,##0.00_);[Red]\(#,##0.00\)" sourceLinked="0"/>
        <c:majorTickMark val="in"/>
        <c:minorTickMark val="none"/>
        <c:tickLblPos val="nextTo"/>
        <c:spPr>
          <a:noFill/>
          <a:ln w="9525" cap="flat" cmpd="sng" algn="ctr">
            <a:solidFill>
              <a:schemeClr val="tx1"/>
            </a:solidFill>
            <a:round/>
          </a:ln>
          <a:effectLst/>
        </c:spPr>
        <c:txPr>
          <a:bodyPr rot="-60000000" spcFirstLastPara="0" vertOverflow="ellipsis" vert="horz" wrap="square" anchor="ctr" anchorCtr="1" forceAA="0"/>
          <a:lstStyle/>
          <a:p>
            <a:pPr>
              <a:defRPr lang="zh-CN" sz="900" b="0" i="0" u="none" strike="noStrike" kern="1200" baseline="0">
                <a:solidFill>
                  <a:schemeClr val="tx1">
                    <a:lumMod val="65000"/>
                    <a:lumOff val="35000"/>
                  </a:schemeClr>
                </a:solidFill>
                <a:latin typeface="+mn-lt"/>
                <a:ea typeface="+mn-ea"/>
                <a:cs typeface="+mn-cs"/>
              </a:defRPr>
            </a:pPr>
          </a:p>
        </c:txPr>
        <c:crossAx val="78634439"/>
        <c:crosses val="autoZero"/>
        <c:auto val="1"/>
        <c:lblAlgn val="ctr"/>
        <c:lblOffset val="100"/>
        <c:baseTimeUnit val="days"/>
      </c:dateAx>
      <c:valAx>
        <c:axId val="78634439"/>
        <c:scaling>
          <c:orientation val="minMax"/>
          <c:max val="1"/>
          <c:min val="0.2"/>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t>合格率</a:t>
                </a:r>
                <a:r>
                  <a:rPr lang="en-US" altLang="zh-CN"/>
                  <a:t>/%</a:t>
                </a:r>
                <a:endParaRPr lang="en-US" altLang="zh-CN"/>
              </a:p>
            </c:rich>
          </c:tx>
          <c:layout>
            <c:manualLayout>
              <c:xMode val="edge"/>
              <c:yMode val="edge"/>
              <c:x val="0.0226739640344019"/>
              <c:y val="0.108506375227687"/>
            </c:manualLayout>
          </c:layout>
          <c:overlay val="0"/>
          <c:spPr>
            <a:noFill/>
            <a:ln>
              <a:noFill/>
            </a:ln>
            <a:effectLst/>
          </c:spPr>
        </c:title>
        <c:numFmt formatCode="0.00%" sourceLinked="0"/>
        <c:majorTickMark val="out"/>
        <c:minorTickMark val="none"/>
        <c:tickLblPos val="nextTo"/>
        <c:spPr>
          <a:noFill/>
          <a:ln w="12700" cmpd="sng">
            <a:solidFill>
              <a:schemeClr val="tx1"/>
            </a:solidFill>
            <a:prstDash val="soli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7441763"/>
        <c:crosses val="autoZero"/>
        <c:crossBetween val="between"/>
        <c:majorUnit val="0.2"/>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6489444878812"/>
          <c:y val="0.0598523124757093"/>
          <c:w val="0.76034401876466"/>
          <c:h val="0.844617178390983"/>
        </c:manualLayout>
      </c:layout>
      <c:barChart>
        <c:barDir val="col"/>
        <c:grouping val="clustered"/>
        <c:varyColors val="0"/>
        <c:ser>
          <c:idx val="0"/>
          <c:order val="0"/>
          <c:tx>
            <c:strRef>
              <c:f>Sheet1!$B$1</c:f>
              <c:strCache>
                <c:ptCount val="1"/>
                <c:pt idx="0">
                  <c:v>指标合格率</c:v>
                </c:pt>
              </c:strCache>
            </c:strRef>
          </c:tx>
          <c:spPr>
            <a:solidFill>
              <a:schemeClr val="accent1"/>
            </a:solidFill>
            <a:ln>
              <a:noFill/>
            </a:ln>
            <a:effectLst/>
          </c:spPr>
          <c:invertIfNegative val="0"/>
          <c:dLbls>
            <c:delete val="1"/>
          </c:dLbls>
          <c:cat>
            <c:strRef>
              <c:f>Sheet1!$A$2:$A$6</c:f>
              <c:strCache>
                <c:ptCount val="5"/>
                <c:pt idx="0">
                  <c:v>SiO2</c:v>
                </c:pt>
                <c:pt idx="1">
                  <c:v>MgO</c:v>
                </c:pt>
                <c:pt idx="2">
                  <c:v>Al2O3</c:v>
                </c:pt>
                <c:pt idx="3">
                  <c:v>烧失量</c:v>
                </c:pt>
                <c:pt idx="4">
                  <c:v>水分</c:v>
                </c:pt>
              </c:strCache>
            </c:strRef>
          </c:cat>
          <c:val>
            <c:numRef>
              <c:f>Sheet1!$B$2:$B$6</c:f>
              <c:numCache>
                <c:formatCode>0.00%</c:formatCode>
                <c:ptCount val="5"/>
                <c:pt idx="0">
                  <c:v>1</c:v>
                </c:pt>
                <c:pt idx="1">
                  <c:v>0.9</c:v>
                </c:pt>
                <c:pt idx="2">
                  <c:v>0.9</c:v>
                </c:pt>
                <c:pt idx="3" c:formatCode="0%">
                  <c:v>0.8</c:v>
                </c:pt>
                <c:pt idx="4" c:formatCode="0%">
                  <c:v>0.8</c:v>
                </c:pt>
              </c:numCache>
            </c:numRef>
          </c:val>
        </c:ser>
        <c:dLbls>
          <c:showLegendKey val="0"/>
          <c:showVal val="0"/>
          <c:showCatName val="0"/>
          <c:showSerName val="0"/>
          <c:showPercent val="0"/>
          <c:showBubbleSize val="0"/>
        </c:dLbls>
        <c:gapWidth val="219"/>
        <c:overlap val="-27"/>
        <c:axId val="967441763"/>
        <c:axId val="78634439"/>
      </c:barChart>
      <c:dateAx>
        <c:axId val="967441763"/>
        <c:scaling>
          <c:orientation val="minMax"/>
        </c:scaling>
        <c:delete val="0"/>
        <c:axPos val="b"/>
        <c:numFmt formatCode="#,##0.00_);[Red]\(#,##0.00\)" sourceLinked="0"/>
        <c:majorTickMark val="in"/>
        <c:minorTickMark val="none"/>
        <c:tickLblPos val="nextTo"/>
        <c:spPr>
          <a:noFill/>
          <a:ln w="9525" cap="flat" cmpd="sng" algn="ctr">
            <a:solidFill>
              <a:schemeClr val="tx1"/>
            </a:solidFill>
            <a:round/>
          </a:ln>
          <a:effectLst/>
        </c:spPr>
        <c:txPr>
          <a:bodyPr rot="-60000000" spcFirstLastPara="0" vertOverflow="ellipsis" vert="horz" wrap="square" anchor="ctr" anchorCtr="1" forceAA="0"/>
          <a:lstStyle/>
          <a:p>
            <a:pPr>
              <a:defRPr lang="zh-CN" sz="900" b="0" i="0" u="none" strike="noStrike" kern="1200" baseline="0">
                <a:solidFill>
                  <a:schemeClr val="tx1">
                    <a:lumMod val="65000"/>
                    <a:lumOff val="35000"/>
                  </a:schemeClr>
                </a:solidFill>
                <a:latin typeface="+mn-lt"/>
                <a:ea typeface="+mn-ea"/>
                <a:cs typeface="+mn-cs"/>
              </a:defRPr>
            </a:pPr>
          </a:p>
        </c:txPr>
        <c:crossAx val="78634439"/>
        <c:crosses val="autoZero"/>
        <c:auto val="1"/>
        <c:lblAlgn val="ctr"/>
        <c:lblOffset val="100"/>
        <c:baseTimeUnit val="days"/>
      </c:dateAx>
      <c:valAx>
        <c:axId val="78634439"/>
        <c:scaling>
          <c:orientation val="minMax"/>
          <c:max val="1"/>
          <c:min val="0.2"/>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t>合格率</a:t>
                </a:r>
                <a:r>
                  <a:rPr lang="en-US" altLang="zh-CN"/>
                  <a:t>/%</a:t>
                </a:r>
                <a:endParaRPr lang="en-US" altLang="zh-CN"/>
              </a:p>
            </c:rich>
          </c:tx>
          <c:layout>
            <c:manualLayout>
              <c:xMode val="edge"/>
              <c:yMode val="edge"/>
              <c:x val="0.0226739640344019"/>
              <c:y val="0.108506375227687"/>
            </c:manualLayout>
          </c:layout>
          <c:overlay val="0"/>
          <c:spPr>
            <a:noFill/>
            <a:ln>
              <a:noFill/>
            </a:ln>
            <a:effectLst/>
          </c:spPr>
        </c:title>
        <c:numFmt formatCode="0.00%" sourceLinked="0"/>
        <c:majorTickMark val="out"/>
        <c:minorTickMark val="none"/>
        <c:tickLblPos val="nextTo"/>
        <c:spPr>
          <a:noFill/>
          <a:ln w="12700" cmpd="sng">
            <a:solidFill>
              <a:schemeClr val="tx1"/>
            </a:solidFill>
            <a:prstDash val="soli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7441763"/>
        <c:crosses val="autoZero"/>
        <c:crossBetween val="between"/>
        <c:majorUnit val="0.2"/>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6489444878812"/>
          <c:y val="0.0598523124757093"/>
          <c:w val="0.76034401876466"/>
          <c:h val="0.844617178390983"/>
        </c:manualLayout>
      </c:layout>
      <c:barChart>
        <c:barDir val="col"/>
        <c:grouping val="clustered"/>
        <c:varyColors val="0"/>
        <c:ser>
          <c:idx val="0"/>
          <c:order val="0"/>
          <c:tx>
            <c:strRef>
              <c:f>Sheet1!$B$1</c:f>
              <c:strCache>
                <c:ptCount val="1"/>
                <c:pt idx="0">
                  <c:v>指标合格率</c:v>
                </c:pt>
              </c:strCache>
            </c:strRef>
          </c:tx>
          <c:spPr>
            <a:solidFill>
              <a:schemeClr val="accent1"/>
            </a:solidFill>
            <a:ln>
              <a:noFill/>
            </a:ln>
            <a:effectLst/>
          </c:spPr>
          <c:invertIfNegative val="0"/>
          <c:dLbls>
            <c:delete val="1"/>
          </c:dLbls>
          <c:cat>
            <c:strRef>
              <c:f>Sheet1!$A$2:$A$6</c:f>
              <c:strCache>
                <c:ptCount val="5"/>
                <c:pt idx="0">
                  <c:v>SiO2</c:v>
                </c:pt>
                <c:pt idx="1">
                  <c:v>MgO</c:v>
                </c:pt>
                <c:pt idx="2">
                  <c:v>Al2O3</c:v>
                </c:pt>
                <c:pt idx="3">
                  <c:v>水分</c:v>
                </c:pt>
                <c:pt idx="4">
                  <c:v>白度</c:v>
                </c:pt>
              </c:strCache>
            </c:strRef>
          </c:cat>
          <c:val>
            <c:numRef>
              <c:f>Sheet1!$B$2:$B$6</c:f>
              <c:numCache>
                <c:formatCode>0.00%</c:formatCode>
                <c:ptCount val="5"/>
                <c:pt idx="0">
                  <c:v>1</c:v>
                </c:pt>
                <c:pt idx="1">
                  <c:v>0.8</c:v>
                </c:pt>
                <c:pt idx="2">
                  <c:v>1</c:v>
                </c:pt>
                <c:pt idx="3" c:formatCode="0%">
                  <c:v>0.8</c:v>
                </c:pt>
                <c:pt idx="4" c:formatCode="0%">
                  <c:v>0.9</c:v>
                </c:pt>
              </c:numCache>
            </c:numRef>
          </c:val>
        </c:ser>
        <c:dLbls>
          <c:showLegendKey val="0"/>
          <c:showVal val="0"/>
          <c:showCatName val="0"/>
          <c:showSerName val="0"/>
          <c:showPercent val="0"/>
          <c:showBubbleSize val="0"/>
        </c:dLbls>
        <c:gapWidth val="219"/>
        <c:overlap val="-27"/>
        <c:axId val="967441763"/>
        <c:axId val="78634439"/>
      </c:barChart>
      <c:dateAx>
        <c:axId val="967441763"/>
        <c:scaling>
          <c:orientation val="minMax"/>
        </c:scaling>
        <c:delete val="0"/>
        <c:axPos val="b"/>
        <c:numFmt formatCode="#,##0.00_);[Red]\(#,##0.00\)" sourceLinked="0"/>
        <c:majorTickMark val="in"/>
        <c:minorTickMark val="none"/>
        <c:tickLblPos val="nextTo"/>
        <c:spPr>
          <a:noFill/>
          <a:ln w="9525" cap="flat" cmpd="sng" algn="ctr">
            <a:solidFill>
              <a:schemeClr val="tx1"/>
            </a:solidFill>
            <a:round/>
          </a:ln>
          <a:effectLst/>
        </c:spPr>
        <c:txPr>
          <a:bodyPr rot="-60000000" spcFirstLastPara="0" vertOverflow="ellipsis" vert="horz" wrap="square" anchor="ctr" anchorCtr="1" forceAA="0"/>
          <a:lstStyle/>
          <a:p>
            <a:pPr>
              <a:defRPr lang="zh-CN" sz="900" b="0" i="0" u="none" strike="noStrike" kern="1200" baseline="0">
                <a:solidFill>
                  <a:schemeClr val="tx1">
                    <a:lumMod val="65000"/>
                    <a:lumOff val="35000"/>
                  </a:schemeClr>
                </a:solidFill>
                <a:latin typeface="+mn-lt"/>
                <a:ea typeface="+mn-ea"/>
                <a:cs typeface="+mn-cs"/>
              </a:defRPr>
            </a:pPr>
          </a:p>
        </c:txPr>
        <c:crossAx val="78634439"/>
        <c:crosses val="autoZero"/>
        <c:auto val="1"/>
        <c:lblAlgn val="ctr"/>
        <c:lblOffset val="100"/>
        <c:baseTimeUnit val="days"/>
      </c:dateAx>
      <c:valAx>
        <c:axId val="78634439"/>
        <c:scaling>
          <c:orientation val="minMax"/>
          <c:max val="1"/>
          <c:min val="0.2"/>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t>合格率</a:t>
                </a:r>
                <a:r>
                  <a:rPr lang="en-US" altLang="zh-CN"/>
                  <a:t>/%</a:t>
                </a:r>
                <a:endParaRPr lang="en-US" altLang="zh-CN"/>
              </a:p>
            </c:rich>
          </c:tx>
          <c:layout>
            <c:manualLayout>
              <c:xMode val="edge"/>
              <c:yMode val="edge"/>
              <c:x val="0.0226739640344019"/>
              <c:y val="0.108506375227687"/>
            </c:manualLayout>
          </c:layout>
          <c:overlay val="0"/>
          <c:spPr>
            <a:noFill/>
            <a:ln>
              <a:noFill/>
            </a:ln>
            <a:effectLst/>
          </c:spPr>
        </c:title>
        <c:numFmt formatCode="0.00%" sourceLinked="0"/>
        <c:majorTickMark val="out"/>
        <c:minorTickMark val="none"/>
        <c:tickLblPos val="nextTo"/>
        <c:spPr>
          <a:noFill/>
          <a:ln w="12700" cmpd="sng">
            <a:solidFill>
              <a:schemeClr val="tx1"/>
            </a:solidFill>
            <a:prstDash val="soli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7441763"/>
        <c:crosses val="autoZero"/>
        <c:crossBetween val="between"/>
        <c:majorUnit val="0.2"/>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Corporation</Company>
  <Pages>10</Pages>
  <Words>3993</Words>
  <Characters>4961</Characters>
  <Lines>10</Lines>
  <Paragraphs>3</Paragraphs>
  <TotalTime>0</TotalTime>
  <ScaleCrop>false</ScaleCrop>
  <LinksUpToDate>false</LinksUpToDate>
  <CharactersWithSpaces>5218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2011-07-25T07:50:00Z</dcterms:created>
  <dc:creator>fxzm</dc:creator>
  <cp:lastModifiedBy>imbalance</cp:lastModifiedBy>
  <cp:lastPrinted>2021-10-25T06:22:00Z</cp:lastPrinted>
  <dcterms:modified xsi:type="dcterms:W3CDTF">2023-05-05T10:39:23Z</dcterms:modified>
  <dc:title>本标准等同采用ISO15484:2008（E）《道路车辆  制动衬片摩擦材料  产品确定和质量保证》</dc:title>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F0E351E94E964B7E8D2183AEEBBCDB18</vt:lpwstr>
  </property>
</Properties>
</file>